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85C7" w14:textId="77777777" w:rsidR="007D4A95" w:rsidRPr="00F639F4" w:rsidRDefault="00C6796B" w:rsidP="00FE2582">
      <w:pPr>
        <w:pStyle w:val="Header"/>
        <w:jc w:val="right"/>
        <w:rPr>
          <w:rFonts w:cstheme="minorHAnsi"/>
          <w:b/>
          <w:color w:val="C00000"/>
        </w:rPr>
      </w:pPr>
      <w:r w:rsidRPr="00F639F4">
        <w:rPr>
          <w:rFonts w:cstheme="minorHAnsi"/>
          <w:b/>
          <w:noProof/>
          <w:color w:val="C00000"/>
          <w:lang w:val="en-GB" w:eastAsia="en-GB"/>
        </w:rPr>
        <w:drawing>
          <wp:inline distT="0" distB="0" distL="0" distR="0" wp14:anchorId="3C1D7631" wp14:editId="1F7F61E4">
            <wp:extent cx="1398656" cy="778084"/>
            <wp:effectExtent l="0" t="0" r="0" b="317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571" cy="794170"/>
                    </a:xfrm>
                    <a:prstGeom prst="rect">
                      <a:avLst/>
                    </a:prstGeom>
                  </pic:spPr>
                </pic:pic>
              </a:graphicData>
            </a:graphic>
          </wp:inline>
        </w:drawing>
      </w:r>
    </w:p>
    <w:p w14:paraId="5C4BFB7B" w14:textId="77777777" w:rsidR="00AE1515" w:rsidRPr="00F639F4" w:rsidRDefault="00AE1515" w:rsidP="00FE2582">
      <w:pPr>
        <w:pStyle w:val="Header"/>
        <w:rPr>
          <w:rFonts w:cstheme="minorHAnsi"/>
          <w:b/>
          <w:color w:val="C00000"/>
          <w:sz w:val="28"/>
          <w:szCs w:val="28"/>
        </w:rPr>
      </w:pPr>
    </w:p>
    <w:p w14:paraId="69FB95DE" w14:textId="601233CD" w:rsidR="00A60CE4" w:rsidRPr="00F639F4" w:rsidRDefault="0004080E" w:rsidP="00FE2582">
      <w:pPr>
        <w:pStyle w:val="Header"/>
        <w:rPr>
          <w:rFonts w:cstheme="minorHAnsi"/>
          <w:b/>
          <w:color w:val="C00000"/>
          <w:sz w:val="28"/>
          <w:szCs w:val="28"/>
        </w:rPr>
      </w:pPr>
      <w:r w:rsidRPr="00F639F4">
        <w:rPr>
          <w:rFonts w:cstheme="minorHAnsi"/>
          <w:b/>
          <w:color w:val="C00000"/>
          <w:sz w:val="28"/>
          <w:szCs w:val="28"/>
        </w:rPr>
        <w:t>HelpAge International</w:t>
      </w:r>
      <w:r w:rsidR="00A60CE4" w:rsidRPr="00F639F4">
        <w:rPr>
          <w:rFonts w:cstheme="minorHAnsi"/>
          <w:b/>
          <w:color w:val="C00000"/>
          <w:sz w:val="28"/>
          <w:szCs w:val="28"/>
        </w:rPr>
        <w:t xml:space="preserve"> </w:t>
      </w:r>
      <w:r w:rsidRPr="00F639F4">
        <w:rPr>
          <w:rFonts w:cstheme="minorHAnsi"/>
          <w:b/>
          <w:color w:val="C00000"/>
          <w:sz w:val="28"/>
          <w:szCs w:val="28"/>
        </w:rPr>
        <w:t xml:space="preserve">Submission on </w:t>
      </w:r>
      <w:r w:rsidR="00587727" w:rsidRPr="00F639F4">
        <w:rPr>
          <w:rFonts w:cstheme="minorHAnsi"/>
          <w:b/>
          <w:color w:val="C00000"/>
          <w:sz w:val="28"/>
          <w:szCs w:val="28"/>
        </w:rPr>
        <w:t>Social Protection and Social Security (including social protection floors)</w:t>
      </w:r>
    </w:p>
    <w:p w14:paraId="73B14CF9" w14:textId="2408E030" w:rsidR="002B0842" w:rsidRPr="00F639F4" w:rsidRDefault="00587727" w:rsidP="00FE2582">
      <w:pPr>
        <w:pStyle w:val="Header"/>
        <w:rPr>
          <w:rFonts w:cstheme="minorHAnsi"/>
        </w:rPr>
      </w:pPr>
      <w:r w:rsidRPr="00F639F4">
        <w:rPr>
          <w:rFonts w:cstheme="minorHAnsi"/>
        </w:rPr>
        <w:t>10</w:t>
      </w:r>
      <w:r w:rsidR="002B0842" w:rsidRPr="00F639F4">
        <w:rPr>
          <w:rFonts w:cstheme="minorHAnsi"/>
          <w:vertAlign w:val="superscript"/>
        </w:rPr>
        <w:t>th</w:t>
      </w:r>
      <w:r w:rsidR="00597CA9" w:rsidRPr="00F639F4">
        <w:rPr>
          <w:rFonts w:cstheme="minorHAnsi"/>
        </w:rPr>
        <w:t xml:space="preserve"> </w:t>
      </w:r>
      <w:r w:rsidR="002B0842" w:rsidRPr="00F639F4">
        <w:rPr>
          <w:rFonts w:cstheme="minorHAnsi"/>
        </w:rPr>
        <w:t>Working Session of the Open-end</w:t>
      </w:r>
      <w:r w:rsidRPr="00F639F4">
        <w:rPr>
          <w:rFonts w:cstheme="minorHAnsi"/>
        </w:rPr>
        <w:t>ed Working Group on Ageing, 2019</w:t>
      </w:r>
    </w:p>
    <w:p w14:paraId="73E2D8CD" w14:textId="77777777" w:rsidR="00A60CE4" w:rsidRPr="00F639F4" w:rsidRDefault="00A60CE4" w:rsidP="00FE2582">
      <w:pPr>
        <w:rPr>
          <w:rFonts w:cstheme="minorHAnsi"/>
          <w:b/>
          <w:color w:val="800000"/>
        </w:rPr>
      </w:pPr>
    </w:p>
    <w:p w14:paraId="60A4237C" w14:textId="77777777" w:rsidR="00AB6200" w:rsidRPr="00F639F4" w:rsidRDefault="00AB6200" w:rsidP="00FE2582">
      <w:pPr>
        <w:rPr>
          <w:rFonts w:cstheme="minorHAnsi"/>
          <w:b/>
          <w:color w:val="800000"/>
        </w:rPr>
      </w:pPr>
      <w:r w:rsidRPr="00F639F4">
        <w:rPr>
          <w:rFonts w:cstheme="minorHAnsi"/>
          <w:b/>
          <w:color w:val="800000"/>
        </w:rPr>
        <w:t>Introduction</w:t>
      </w:r>
    </w:p>
    <w:p w14:paraId="735F8948" w14:textId="77777777" w:rsidR="00CB610F" w:rsidRPr="00F639F4" w:rsidRDefault="00CB610F" w:rsidP="00FE2582">
      <w:pPr>
        <w:rPr>
          <w:rFonts w:cstheme="minorHAnsi"/>
        </w:rPr>
      </w:pPr>
      <w:r w:rsidRPr="00F639F4">
        <w:rPr>
          <w:rFonts w:cstheme="minorHAnsi"/>
        </w:rPr>
        <w:t xml:space="preserve">Older people must be part of the growing discussion on their human rights.  To this end, in November 2018 HelpAge International consulted </w:t>
      </w:r>
      <w:r>
        <w:rPr>
          <w:rFonts w:cstheme="minorHAnsi"/>
        </w:rPr>
        <w:t xml:space="preserve">348 older women and 191 older men </w:t>
      </w:r>
      <w:r w:rsidRPr="00F639F4">
        <w:rPr>
          <w:rFonts w:cstheme="minorHAnsi"/>
        </w:rPr>
        <w:t>across 23 countries</w:t>
      </w:r>
      <w:r w:rsidRPr="00F639F4">
        <w:rPr>
          <w:rStyle w:val="FootnoteReference"/>
          <w:rFonts w:cstheme="minorHAnsi"/>
        </w:rPr>
        <w:footnoteReference w:id="1"/>
      </w:r>
      <w:r w:rsidRPr="00F639F4">
        <w:rPr>
          <w:rFonts w:cstheme="minorHAnsi"/>
          <w:vertAlign w:val="superscript"/>
        </w:rPr>
        <w:t xml:space="preserve"> </w:t>
      </w:r>
      <w:r w:rsidRPr="00F639F4">
        <w:rPr>
          <w:rFonts w:cstheme="minorHAnsi"/>
        </w:rPr>
        <w:t>on the rights to be discussed at the 10</w:t>
      </w:r>
      <w:r w:rsidRPr="00F639F4">
        <w:rPr>
          <w:rFonts w:cstheme="minorHAnsi"/>
          <w:vertAlign w:val="superscript"/>
        </w:rPr>
        <w:t>th</w:t>
      </w:r>
      <w:r w:rsidRPr="00F639F4">
        <w:rPr>
          <w:rFonts w:cstheme="minorHAnsi"/>
        </w:rPr>
        <w:t xml:space="preserve"> Session of the UN OEWG. This submission presents the issues they raised and uses their own words</w:t>
      </w:r>
      <w:bookmarkStart w:id="1" w:name="_Hlk533068194"/>
      <w:r w:rsidRPr="00F639F4">
        <w:rPr>
          <w:rFonts w:cstheme="minorHAnsi"/>
        </w:rPr>
        <w:t xml:space="preserve">. </w:t>
      </w:r>
      <w:bookmarkEnd w:id="1"/>
      <w:r>
        <w:rPr>
          <w:rFonts w:cstheme="minorHAnsi"/>
        </w:rPr>
        <w:t xml:space="preserve">Participants </w:t>
      </w:r>
      <w:r w:rsidRPr="00F639F4">
        <w:rPr>
          <w:rFonts w:cstheme="minorHAnsi"/>
        </w:rPr>
        <w:t>were self-selecting</w:t>
      </w:r>
      <w:r>
        <w:rPr>
          <w:rFonts w:cstheme="minorHAnsi"/>
        </w:rPr>
        <w:t>,</w:t>
      </w:r>
      <w:r w:rsidRPr="00F639F4">
        <w:rPr>
          <w:rFonts w:cstheme="minorHAnsi"/>
        </w:rPr>
        <w:t xml:space="preserve"> so their responses are not a representative sample of older people. </w:t>
      </w:r>
    </w:p>
    <w:p w14:paraId="505B90D2" w14:textId="77777777" w:rsidR="00EE6E92" w:rsidRPr="00F639F4" w:rsidRDefault="00EE6E92" w:rsidP="00FE2582">
      <w:pPr>
        <w:rPr>
          <w:rFonts w:cstheme="minorHAnsi"/>
          <w:b/>
          <w:color w:val="800000"/>
        </w:rPr>
      </w:pPr>
    </w:p>
    <w:p w14:paraId="63CF9D2E" w14:textId="57F6CA96" w:rsidR="00EE6E92" w:rsidRPr="00F639F4" w:rsidRDefault="00FE2582" w:rsidP="00FE2582">
      <w:pPr>
        <w:rPr>
          <w:rFonts w:cstheme="minorHAnsi"/>
          <w:b/>
          <w:color w:val="800000"/>
        </w:rPr>
      </w:pPr>
      <w:r>
        <w:rPr>
          <w:rFonts w:cstheme="minorHAnsi"/>
          <w:b/>
          <w:color w:val="800000"/>
        </w:rPr>
        <w:t>Question 2</w:t>
      </w:r>
      <w:r w:rsidR="00EE6E92" w:rsidRPr="00F639F4">
        <w:rPr>
          <w:rFonts w:cstheme="minorHAnsi"/>
          <w:b/>
          <w:color w:val="800000"/>
        </w:rPr>
        <w:t xml:space="preserve">: </w:t>
      </w:r>
      <w:r w:rsidR="00A415D3" w:rsidRPr="00F639F4">
        <w:rPr>
          <w:rFonts w:cstheme="minorHAnsi"/>
          <w:b/>
          <w:color w:val="800000"/>
        </w:rPr>
        <w:t>Availability</w:t>
      </w:r>
      <w:r w:rsidR="00C113AE">
        <w:rPr>
          <w:rFonts w:cstheme="minorHAnsi"/>
          <w:b/>
          <w:color w:val="800000"/>
        </w:rPr>
        <w:t xml:space="preserve"> - pensions</w:t>
      </w:r>
    </w:p>
    <w:p w14:paraId="3AC23A35" w14:textId="66725BFC" w:rsidR="005E1E92" w:rsidRPr="005E1E92" w:rsidRDefault="005808BD" w:rsidP="00FE2582">
      <w:pPr>
        <w:rPr>
          <w:sz w:val="22"/>
          <w:szCs w:val="22"/>
        </w:rPr>
      </w:pPr>
      <w:r w:rsidRPr="005E1E92">
        <w:rPr>
          <w:rFonts w:cstheme="minorHAnsi"/>
        </w:rPr>
        <w:t>Over a third of participants in the consultation said they did not</w:t>
      </w:r>
      <w:r w:rsidR="007519B1">
        <w:rPr>
          <w:rFonts w:cstheme="minorHAnsi"/>
        </w:rPr>
        <w:t xml:space="preserve"> receive</w:t>
      </w:r>
      <w:r w:rsidRPr="005E1E92">
        <w:rPr>
          <w:rFonts w:cstheme="minorHAnsi"/>
        </w:rPr>
        <w:t xml:space="preserve"> an old-age pension, whether contributory or non-contributory. </w:t>
      </w:r>
      <w:r w:rsidR="005E1E92" w:rsidRPr="005E1E92">
        <w:rPr>
          <w:rFonts w:cstheme="minorHAnsi"/>
        </w:rPr>
        <w:t xml:space="preserve">This mirrors </w:t>
      </w:r>
      <w:r w:rsidR="00983217">
        <w:rPr>
          <w:rFonts w:cstheme="minorHAnsi"/>
        </w:rPr>
        <w:t>International Labour Organisatio</w:t>
      </w:r>
      <w:r w:rsidR="005E1E92" w:rsidRPr="005E1E92">
        <w:rPr>
          <w:rFonts w:cstheme="minorHAnsi"/>
        </w:rPr>
        <w:t>n</w:t>
      </w:r>
      <w:r w:rsidR="007519B1">
        <w:rPr>
          <w:rFonts w:cstheme="minorHAnsi"/>
        </w:rPr>
        <w:t xml:space="preserve"> data that g</w:t>
      </w:r>
      <w:r w:rsidR="005E1E92" w:rsidRPr="005E1E92">
        <w:rPr>
          <w:rFonts w:eastAsia="Cambria"/>
        </w:rPr>
        <w:t>lobally, 32 per cent of people over retireme</w:t>
      </w:r>
      <w:r w:rsidR="00983217">
        <w:rPr>
          <w:rFonts w:eastAsia="Cambria"/>
        </w:rPr>
        <w:t>nt age do not receive a pension</w:t>
      </w:r>
      <w:r w:rsidR="00280FC6">
        <w:rPr>
          <w:rFonts w:eastAsia="Cambria"/>
        </w:rPr>
        <w:t>.</w:t>
      </w:r>
      <w:r w:rsidR="005E1E92" w:rsidRPr="00086E9A">
        <w:rPr>
          <w:rStyle w:val="FootnoteReference"/>
          <w:rFonts w:eastAsia="Cambria" w:cs="Calibri"/>
        </w:rPr>
        <w:footnoteReference w:id="2"/>
      </w:r>
      <w:r w:rsidR="00983217">
        <w:rPr>
          <w:rFonts w:eastAsia="Cambria"/>
        </w:rPr>
        <w:t xml:space="preserve"> </w:t>
      </w:r>
      <w:r w:rsidR="00280FC6">
        <w:rPr>
          <w:rFonts w:eastAsia="Cambria"/>
        </w:rPr>
        <w:t>This</w:t>
      </w:r>
      <w:r w:rsidR="00983217">
        <w:rPr>
          <w:rFonts w:eastAsia="Cambria"/>
        </w:rPr>
        <w:t xml:space="preserve"> constitutes a significant gap in protection of the right to social security.</w:t>
      </w:r>
    </w:p>
    <w:p w14:paraId="6076E235" w14:textId="0989B934" w:rsidR="00FE2582" w:rsidRDefault="00FE2582" w:rsidP="00FE2582">
      <w:pPr>
        <w:rPr>
          <w:rFonts w:cstheme="minorHAnsi"/>
        </w:rPr>
      </w:pPr>
    </w:p>
    <w:p w14:paraId="3623682B" w14:textId="773E806A" w:rsidR="00FE2582" w:rsidRDefault="00FE2582" w:rsidP="00FE2582">
      <w:pPr>
        <w:rPr>
          <w:rFonts w:cstheme="minorHAnsi"/>
          <w:b/>
          <w:color w:val="800000"/>
        </w:rPr>
      </w:pPr>
      <w:r>
        <w:rPr>
          <w:rFonts w:cstheme="minorHAnsi"/>
          <w:b/>
          <w:color w:val="800000"/>
        </w:rPr>
        <w:t>Question 3</w:t>
      </w:r>
      <w:r w:rsidRPr="00F639F4">
        <w:rPr>
          <w:rFonts w:cstheme="minorHAnsi"/>
          <w:b/>
          <w:color w:val="800000"/>
        </w:rPr>
        <w:t>: Availability</w:t>
      </w:r>
      <w:r w:rsidR="00C113AE">
        <w:rPr>
          <w:rFonts w:cstheme="minorHAnsi"/>
          <w:b/>
          <w:color w:val="800000"/>
        </w:rPr>
        <w:t xml:space="preserve"> – affordable healthcare and care and support services</w:t>
      </w:r>
    </w:p>
    <w:p w14:paraId="731A1F52" w14:textId="0163359D" w:rsidR="00C113AE" w:rsidRPr="00F652CF" w:rsidRDefault="00C113AE" w:rsidP="00C113AE">
      <w:pPr>
        <w:rPr>
          <w:rFonts w:cstheme="minorHAnsi"/>
        </w:rPr>
      </w:pPr>
      <w:r>
        <w:rPr>
          <w:rFonts w:cstheme="minorHAnsi"/>
        </w:rPr>
        <w:t>E</w:t>
      </w:r>
      <w:r w:rsidRPr="00F652CF">
        <w:rPr>
          <w:rFonts w:cstheme="minorHAnsi"/>
        </w:rPr>
        <w:t xml:space="preserve">veryone </w:t>
      </w:r>
      <w:r>
        <w:rPr>
          <w:rFonts w:cstheme="minorHAnsi"/>
        </w:rPr>
        <w:t xml:space="preserve">in the consultation </w:t>
      </w:r>
      <w:r w:rsidRPr="00F652CF">
        <w:rPr>
          <w:rFonts w:cstheme="minorHAnsi"/>
        </w:rPr>
        <w:t>who said the</w:t>
      </w:r>
      <w:r>
        <w:rPr>
          <w:rFonts w:cstheme="minorHAnsi"/>
        </w:rPr>
        <w:t>ir</w:t>
      </w:r>
      <w:r w:rsidRPr="00F652CF">
        <w:rPr>
          <w:rFonts w:cstheme="minorHAnsi"/>
        </w:rPr>
        <w:t xml:space="preserve"> pension was not enough </w:t>
      </w:r>
      <w:r w:rsidR="00280FC6">
        <w:rPr>
          <w:rFonts w:cstheme="minorHAnsi"/>
        </w:rPr>
        <w:t xml:space="preserve">for an adequate standard of living </w:t>
      </w:r>
      <w:r w:rsidRPr="00F652CF">
        <w:rPr>
          <w:rFonts w:cstheme="minorHAnsi"/>
        </w:rPr>
        <w:t>said they could not afford the health care, medication, rehabilitation, dental care or assistive devices they needed.</w:t>
      </w:r>
      <w:r>
        <w:rPr>
          <w:rFonts w:cstheme="minorHAnsi"/>
        </w:rPr>
        <w:t xml:space="preserve"> This suggests they do not have access to social security and social protection schemes </w:t>
      </w:r>
      <w:r>
        <w:t>which guara</w:t>
      </w:r>
      <w:r w:rsidR="00983217">
        <w:t>ntee them access to adequate and</w:t>
      </w:r>
      <w:r>
        <w:t xml:space="preserve"> affordable health</w:t>
      </w:r>
      <w:r w:rsidR="00983217">
        <w:t>care, or to</w:t>
      </w:r>
      <w:r>
        <w:t xml:space="preserve"> care and support services for independent living in older age.</w:t>
      </w:r>
      <w:r>
        <w:rPr>
          <w:rFonts w:cstheme="minorHAnsi"/>
        </w:rPr>
        <w:t xml:space="preserve"> </w:t>
      </w:r>
    </w:p>
    <w:p w14:paraId="4C307251" w14:textId="77777777" w:rsidR="00C113AE" w:rsidRDefault="00C113AE" w:rsidP="00C113AE"/>
    <w:p w14:paraId="16A2D453" w14:textId="2C2721EA" w:rsidR="00983217" w:rsidRDefault="00983217" w:rsidP="00983217">
      <w:pPr>
        <w:ind w:left="720"/>
      </w:pPr>
      <w:r>
        <w:t>‘Without an electric wheelchair, I am but a plant that breathes and is barely alive, always indoors.’ 78-year-old woman, Serbia</w:t>
      </w:r>
    </w:p>
    <w:p w14:paraId="0BA6DD62" w14:textId="77777777" w:rsidR="00983217" w:rsidRDefault="00983217" w:rsidP="00983217">
      <w:pPr>
        <w:ind w:left="720"/>
      </w:pPr>
    </w:p>
    <w:p w14:paraId="799E6C0F" w14:textId="402BDE11" w:rsidR="00C113AE" w:rsidRDefault="00C113AE" w:rsidP="00983217">
      <w:pPr>
        <w:ind w:left="720"/>
        <w:rPr>
          <w:rFonts w:cstheme="minorHAnsi"/>
        </w:rPr>
      </w:pPr>
      <w:r>
        <w:rPr>
          <w:rFonts w:cstheme="minorHAnsi"/>
        </w:rPr>
        <w:t>‘</w:t>
      </w:r>
      <w:r w:rsidRPr="00F652CF">
        <w:rPr>
          <w:rFonts w:cstheme="minorHAnsi"/>
        </w:rPr>
        <w:t>It</w:t>
      </w:r>
      <w:r>
        <w:rPr>
          <w:rFonts w:cstheme="minorHAnsi"/>
        </w:rPr>
        <w:t xml:space="preserve"> [my pension]</w:t>
      </w:r>
      <w:r w:rsidRPr="00F652CF">
        <w:rPr>
          <w:rFonts w:cstheme="minorHAnsi"/>
        </w:rPr>
        <w:t xml:space="preserve"> is not enough as I </w:t>
      </w:r>
      <w:r>
        <w:rPr>
          <w:rFonts w:cstheme="minorHAnsi"/>
        </w:rPr>
        <w:t>have to buy disposable napkins [diapers]</w:t>
      </w:r>
      <w:r w:rsidRPr="00F652CF">
        <w:rPr>
          <w:rFonts w:cstheme="minorHAnsi"/>
        </w:rPr>
        <w:t xml:space="preserve"> because sometimes urine just drips out and my trousers become wet. I feel very embarrassed.</w:t>
      </w:r>
      <w:r>
        <w:rPr>
          <w:rFonts w:cstheme="minorHAnsi"/>
        </w:rPr>
        <w:t xml:space="preserve">’ </w:t>
      </w:r>
      <w:r w:rsidRPr="00F652CF">
        <w:rPr>
          <w:rFonts w:cstheme="minorHAnsi"/>
        </w:rPr>
        <w:t>86-year-old-man, South Africa</w:t>
      </w:r>
    </w:p>
    <w:p w14:paraId="78F15485" w14:textId="47A2EF79" w:rsidR="00D75CD8" w:rsidRPr="00F639F4" w:rsidRDefault="00D75CD8" w:rsidP="00FE2582">
      <w:pPr>
        <w:rPr>
          <w:rFonts w:cstheme="minorHAnsi"/>
          <w:b/>
          <w:color w:val="800000"/>
        </w:rPr>
      </w:pPr>
    </w:p>
    <w:p w14:paraId="5D445F69" w14:textId="314C9827" w:rsidR="00AE1515" w:rsidRPr="00F639F4" w:rsidRDefault="00A415D3" w:rsidP="00FE2582">
      <w:pPr>
        <w:rPr>
          <w:rFonts w:cstheme="minorHAnsi"/>
          <w:b/>
          <w:color w:val="800000"/>
          <w:lang w:val="en-GB"/>
        </w:rPr>
      </w:pPr>
      <w:r w:rsidRPr="00F639F4">
        <w:rPr>
          <w:rFonts w:cstheme="minorHAnsi"/>
          <w:b/>
          <w:color w:val="800000"/>
        </w:rPr>
        <w:t>Question 4</w:t>
      </w:r>
      <w:r w:rsidR="00EE6E92" w:rsidRPr="00F639F4">
        <w:rPr>
          <w:rFonts w:cstheme="minorHAnsi"/>
          <w:b/>
          <w:color w:val="800000"/>
        </w:rPr>
        <w:t xml:space="preserve">: </w:t>
      </w:r>
      <w:r w:rsidRPr="00F639F4">
        <w:rPr>
          <w:rFonts w:cstheme="minorHAnsi"/>
          <w:b/>
          <w:color w:val="800000"/>
        </w:rPr>
        <w:t>Adequacy</w:t>
      </w:r>
    </w:p>
    <w:p w14:paraId="6459DB9F" w14:textId="005823E9" w:rsidR="0001689F" w:rsidRDefault="005808BD" w:rsidP="00FE2582">
      <w:pPr>
        <w:rPr>
          <w:rFonts w:cstheme="minorHAnsi"/>
        </w:rPr>
      </w:pPr>
      <w:r w:rsidRPr="005808BD">
        <w:rPr>
          <w:rFonts w:cstheme="minorHAnsi"/>
        </w:rPr>
        <w:t>While some</w:t>
      </w:r>
      <w:r>
        <w:rPr>
          <w:rFonts w:cstheme="minorHAnsi"/>
        </w:rPr>
        <w:t xml:space="preserve"> said they could</w:t>
      </w:r>
      <w:r w:rsidRPr="005808BD">
        <w:rPr>
          <w:rFonts w:cstheme="minorHAnsi"/>
        </w:rPr>
        <w:t xml:space="preserve"> get by, many older people on a pension </w:t>
      </w:r>
      <w:r w:rsidR="005E1E92">
        <w:rPr>
          <w:rFonts w:cstheme="minorHAnsi"/>
        </w:rPr>
        <w:t xml:space="preserve">in our consultation </w:t>
      </w:r>
      <w:r>
        <w:rPr>
          <w:rFonts w:cstheme="minorHAnsi"/>
        </w:rPr>
        <w:t xml:space="preserve">said they were </w:t>
      </w:r>
      <w:r w:rsidR="000A4CDE">
        <w:rPr>
          <w:rFonts w:cstheme="minorHAnsi"/>
        </w:rPr>
        <w:t xml:space="preserve">unable to afford </w:t>
      </w:r>
      <w:r w:rsidRPr="005808BD">
        <w:rPr>
          <w:rFonts w:cstheme="minorHAnsi"/>
        </w:rPr>
        <w:t xml:space="preserve">basic necessities to survive: food, water, clothing, housing, medical care and care and support. </w:t>
      </w:r>
    </w:p>
    <w:p w14:paraId="5066624F" w14:textId="6C380138" w:rsidR="00DE40C8" w:rsidRDefault="00DE40C8" w:rsidP="00FE2582">
      <w:pPr>
        <w:rPr>
          <w:rFonts w:cstheme="minorHAnsi"/>
        </w:rPr>
      </w:pPr>
    </w:p>
    <w:p w14:paraId="3B93B82E" w14:textId="77777777" w:rsidR="00CD1FCE" w:rsidRDefault="00CD1FCE" w:rsidP="00FE2582">
      <w:pPr>
        <w:rPr>
          <w:rFonts w:cstheme="minorHAnsi"/>
        </w:rPr>
      </w:pPr>
    </w:p>
    <w:p w14:paraId="708F205B" w14:textId="339C0DAE" w:rsidR="00DE40C8" w:rsidRPr="00A55946" w:rsidRDefault="00DE40C8" w:rsidP="00A55946">
      <w:pPr>
        <w:ind w:left="720"/>
        <w:rPr>
          <w:rFonts w:cstheme="minorHAnsi"/>
          <w:i/>
        </w:rPr>
      </w:pPr>
      <w:r w:rsidRPr="0060352C">
        <w:rPr>
          <w:rFonts w:cstheme="minorHAnsi"/>
          <w:i/>
        </w:rPr>
        <w:lastRenderedPageBreak/>
        <w:t xml:space="preserve">It’s so little, it’s impossible to survive on it. </w:t>
      </w:r>
      <w:r w:rsidRPr="0060352C">
        <w:rPr>
          <w:rFonts w:cstheme="minorHAnsi"/>
        </w:rPr>
        <w:t>81-year-old man, Kenya</w:t>
      </w:r>
    </w:p>
    <w:p w14:paraId="6DE1E26D" w14:textId="4DA46519" w:rsidR="0001689F" w:rsidRDefault="0001689F" w:rsidP="00FE2582">
      <w:pPr>
        <w:rPr>
          <w:rFonts w:cstheme="minorHAnsi"/>
        </w:rPr>
      </w:pPr>
    </w:p>
    <w:p w14:paraId="009F770D" w14:textId="3D95ACA4" w:rsidR="0001689F" w:rsidRPr="00F652CF" w:rsidRDefault="0001689F" w:rsidP="00FE2582">
      <w:pPr>
        <w:rPr>
          <w:rFonts w:cstheme="minorHAnsi"/>
        </w:rPr>
      </w:pPr>
      <w:r w:rsidRPr="00F652CF">
        <w:rPr>
          <w:rFonts w:cstheme="minorHAnsi"/>
        </w:rPr>
        <w:t>Two thirds</w:t>
      </w:r>
      <w:r w:rsidR="00F03074">
        <w:rPr>
          <w:rFonts w:cstheme="minorHAnsi"/>
        </w:rPr>
        <w:t xml:space="preserve"> of those who said their pension was not enough</w:t>
      </w:r>
      <w:r w:rsidRPr="00F652CF">
        <w:rPr>
          <w:rFonts w:cstheme="minorHAnsi"/>
        </w:rPr>
        <w:t xml:space="preserve"> said they could not afford to b</w:t>
      </w:r>
      <w:r>
        <w:rPr>
          <w:rFonts w:cstheme="minorHAnsi"/>
        </w:rPr>
        <w:t>uy adequate or nutritious food.</w:t>
      </w:r>
    </w:p>
    <w:p w14:paraId="0FEEE5BB" w14:textId="00A6D60A" w:rsidR="005808BD" w:rsidRDefault="005808BD" w:rsidP="00FE2582">
      <w:pPr>
        <w:rPr>
          <w:rFonts w:cstheme="minorHAnsi"/>
        </w:rPr>
      </w:pPr>
    </w:p>
    <w:p w14:paraId="42BC3E5F" w14:textId="36F9EF4E" w:rsidR="005808BD" w:rsidRDefault="005808BD" w:rsidP="00FE2582">
      <w:pPr>
        <w:ind w:left="720"/>
        <w:rPr>
          <w:rFonts w:cstheme="minorHAnsi"/>
        </w:rPr>
      </w:pPr>
      <w:r>
        <w:rPr>
          <w:rFonts w:cstheme="minorHAnsi"/>
        </w:rPr>
        <w:t>‘</w:t>
      </w:r>
      <w:r w:rsidRPr="00F652CF">
        <w:rPr>
          <w:rFonts w:cstheme="minorHAnsi"/>
        </w:rPr>
        <w:t>The [monthly] old-age pension only buys food for one week.</w:t>
      </w:r>
      <w:r>
        <w:rPr>
          <w:rFonts w:cstheme="minorHAnsi"/>
        </w:rPr>
        <w:t>’</w:t>
      </w:r>
      <w:r w:rsidR="007519B1">
        <w:rPr>
          <w:rFonts w:cstheme="minorHAnsi"/>
        </w:rPr>
        <w:t xml:space="preserve"> </w:t>
      </w:r>
      <w:r w:rsidRPr="00F652CF">
        <w:rPr>
          <w:rFonts w:cstheme="minorHAnsi"/>
        </w:rPr>
        <w:t>62-year-old woman, Rwanda</w:t>
      </w:r>
    </w:p>
    <w:p w14:paraId="4CCAD82D" w14:textId="1CD422C5" w:rsidR="00F03074" w:rsidRDefault="00F03074" w:rsidP="00F03074">
      <w:pPr>
        <w:rPr>
          <w:rFonts w:cstheme="minorHAnsi"/>
        </w:rPr>
      </w:pPr>
    </w:p>
    <w:p w14:paraId="604F4772" w14:textId="77777777" w:rsidR="00F03074" w:rsidRDefault="00F03074" w:rsidP="00F03074">
      <w:r>
        <w:t>Just over half said they could not afford to pay regular bills such as water, heating, electricity, rent and school fees.</w:t>
      </w:r>
    </w:p>
    <w:p w14:paraId="5C74BED3" w14:textId="77777777" w:rsidR="00F03074" w:rsidRPr="00F652CF" w:rsidRDefault="00F03074" w:rsidP="00F03074">
      <w:pPr>
        <w:rPr>
          <w:rFonts w:cstheme="minorHAnsi"/>
        </w:rPr>
      </w:pPr>
    </w:p>
    <w:p w14:paraId="05C97966" w14:textId="77777777" w:rsidR="00F03074" w:rsidRPr="00CB68BD" w:rsidRDefault="00F03074" w:rsidP="00F03074">
      <w:pPr>
        <w:ind w:left="720"/>
        <w:jc w:val="both"/>
        <w:rPr>
          <w:rFonts w:cstheme="minorHAnsi"/>
          <w:i/>
        </w:rPr>
      </w:pPr>
      <w:r w:rsidRPr="00CB68BD">
        <w:rPr>
          <w:rFonts w:cstheme="minorHAnsi"/>
          <w:i/>
        </w:rPr>
        <w:t>I can’t afford to pay the electricity and water bills as well as the rent.</w:t>
      </w:r>
    </w:p>
    <w:p w14:paraId="1146B30A" w14:textId="53C6D6EB" w:rsidR="00F03074" w:rsidRDefault="00F03074" w:rsidP="00F03074">
      <w:pPr>
        <w:ind w:left="720"/>
        <w:jc w:val="both"/>
        <w:rPr>
          <w:rFonts w:cstheme="minorHAnsi"/>
        </w:rPr>
      </w:pPr>
      <w:r w:rsidRPr="00F652CF">
        <w:rPr>
          <w:rFonts w:cstheme="minorHAnsi"/>
        </w:rPr>
        <w:t>66-year-old woman, Tanzania</w:t>
      </w:r>
    </w:p>
    <w:p w14:paraId="2ACF7499" w14:textId="255E1C50" w:rsidR="00CD1FCE" w:rsidRDefault="00CD1FCE" w:rsidP="00CD1FCE">
      <w:pPr>
        <w:jc w:val="both"/>
        <w:rPr>
          <w:rFonts w:cstheme="minorHAnsi"/>
        </w:rPr>
      </w:pPr>
    </w:p>
    <w:p w14:paraId="57ABD38C" w14:textId="77777777" w:rsidR="00CD1FCE" w:rsidRDefault="00CD1FCE" w:rsidP="00CD1FCE">
      <w:pPr>
        <w:rPr>
          <w:rFonts w:cstheme="minorHAnsi"/>
        </w:rPr>
      </w:pPr>
      <w:r>
        <w:rPr>
          <w:rFonts w:cstheme="minorHAnsi"/>
        </w:rPr>
        <w:t>Some said the low value of the pension payment kept them</w:t>
      </w:r>
      <w:r w:rsidRPr="005808BD">
        <w:rPr>
          <w:rFonts w:cstheme="minorHAnsi"/>
        </w:rPr>
        <w:t xml:space="preserve"> dependent on others</w:t>
      </w:r>
      <w:r>
        <w:rPr>
          <w:rFonts w:cstheme="minorHAnsi"/>
        </w:rPr>
        <w:t>,</w:t>
      </w:r>
      <w:r w:rsidRPr="005808BD">
        <w:rPr>
          <w:rFonts w:cstheme="minorHAnsi"/>
        </w:rPr>
        <w:t xml:space="preserve"> </w:t>
      </w:r>
      <w:r>
        <w:rPr>
          <w:rFonts w:cstheme="minorHAnsi"/>
        </w:rPr>
        <w:t>for example</w:t>
      </w:r>
      <w:r w:rsidRPr="005808BD">
        <w:rPr>
          <w:rFonts w:cstheme="minorHAnsi"/>
        </w:rPr>
        <w:t xml:space="preserve"> their spouses, children or other family members. </w:t>
      </w:r>
    </w:p>
    <w:p w14:paraId="75DF85A9" w14:textId="77777777" w:rsidR="00CD1FCE" w:rsidRDefault="00CD1FCE" w:rsidP="00CD1FCE">
      <w:pPr>
        <w:rPr>
          <w:rFonts w:cstheme="minorHAnsi"/>
        </w:rPr>
      </w:pPr>
    </w:p>
    <w:p w14:paraId="1B17A280" w14:textId="77777777" w:rsidR="00CD1FCE" w:rsidRDefault="00CD1FCE" w:rsidP="00CD1FCE">
      <w:pPr>
        <w:ind w:left="720"/>
        <w:rPr>
          <w:rFonts w:cstheme="minorHAnsi"/>
        </w:rPr>
      </w:pPr>
      <w:r>
        <w:rPr>
          <w:rFonts w:cstheme="minorHAnsi"/>
        </w:rPr>
        <w:t xml:space="preserve">‘[My children] </w:t>
      </w:r>
      <w:r w:rsidRPr="00F652CF">
        <w:rPr>
          <w:rFonts w:cstheme="minorHAnsi"/>
        </w:rPr>
        <w:t>keep supporting me with money and buy groceries for me.</w:t>
      </w:r>
      <w:r>
        <w:rPr>
          <w:rFonts w:cstheme="minorHAnsi"/>
        </w:rPr>
        <w:t>’</w:t>
      </w:r>
      <w:r w:rsidRPr="00F652CF">
        <w:rPr>
          <w:rFonts w:cstheme="minorHAnsi"/>
        </w:rPr>
        <w:t xml:space="preserve"> 76-year-old man, Jordan</w:t>
      </w:r>
    </w:p>
    <w:p w14:paraId="2670FD22" w14:textId="77777777" w:rsidR="00CD1FCE" w:rsidRDefault="00CD1FCE" w:rsidP="00CD1FCE">
      <w:pPr>
        <w:jc w:val="both"/>
        <w:rPr>
          <w:rFonts w:cstheme="minorHAnsi"/>
        </w:rPr>
      </w:pPr>
    </w:p>
    <w:p w14:paraId="469EB6E9" w14:textId="77777777" w:rsidR="00CD1FCE" w:rsidRPr="00F652CF" w:rsidRDefault="00CD1FCE" w:rsidP="00CD1FCE">
      <w:pPr>
        <w:rPr>
          <w:rFonts w:cstheme="minorHAnsi"/>
        </w:rPr>
      </w:pPr>
      <w:r w:rsidRPr="00F652CF">
        <w:rPr>
          <w:rFonts w:cstheme="minorHAnsi"/>
        </w:rPr>
        <w:t>Participants also said they could not affo</w:t>
      </w:r>
      <w:r>
        <w:rPr>
          <w:rFonts w:cstheme="minorHAnsi"/>
        </w:rPr>
        <w:t>rd to socialis</w:t>
      </w:r>
      <w:r w:rsidRPr="00F652CF">
        <w:rPr>
          <w:rFonts w:cstheme="minorHAnsi"/>
        </w:rPr>
        <w:t>e with their family and friends</w:t>
      </w:r>
      <w:r>
        <w:rPr>
          <w:rFonts w:cstheme="minorHAnsi"/>
        </w:rPr>
        <w:t xml:space="preserve"> or</w:t>
      </w:r>
      <w:r w:rsidRPr="00F652CF">
        <w:rPr>
          <w:rFonts w:cstheme="minorHAnsi"/>
        </w:rPr>
        <w:t xml:space="preserve"> visit relatives. </w:t>
      </w:r>
    </w:p>
    <w:p w14:paraId="51DBD7C5" w14:textId="77777777" w:rsidR="00CD1FCE" w:rsidRPr="00F652CF" w:rsidRDefault="00CD1FCE" w:rsidP="00CD1FCE">
      <w:pPr>
        <w:rPr>
          <w:rFonts w:cstheme="minorHAnsi"/>
        </w:rPr>
      </w:pPr>
    </w:p>
    <w:p w14:paraId="15B11C7D" w14:textId="04C59D10" w:rsidR="00CD1FCE" w:rsidRPr="00A55946" w:rsidRDefault="00CD1FCE" w:rsidP="00A55946">
      <w:pPr>
        <w:ind w:left="720"/>
        <w:rPr>
          <w:rFonts w:cstheme="minorHAnsi"/>
          <w:i/>
        </w:rPr>
      </w:pPr>
      <w:r w:rsidRPr="0008717E">
        <w:rPr>
          <w:rFonts w:cstheme="minorHAnsi"/>
          <w:i/>
        </w:rPr>
        <w:t xml:space="preserve">Our relatives invite us to weddings, </w:t>
      </w:r>
      <w:r w:rsidRPr="00F669CC">
        <w:rPr>
          <w:rFonts w:cstheme="minorHAnsi"/>
          <w:i/>
        </w:rPr>
        <w:t>anniversaries or other celebrations</w:t>
      </w:r>
      <w:r w:rsidRPr="0008717E">
        <w:rPr>
          <w:rFonts w:cstheme="minorHAnsi"/>
          <w:i/>
        </w:rPr>
        <w:t xml:space="preserve">, but we refuse the invitations because we can’t go without a present and we don’t have clothes to wear for such occasions. </w:t>
      </w:r>
      <w:r w:rsidRPr="00F652CF">
        <w:rPr>
          <w:rFonts w:cstheme="minorHAnsi"/>
        </w:rPr>
        <w:t>67-year-old man, Moldova</w:t>
      </w:r>
    </w:p>
    <w:p w14:paraId="184F6858" w14:textId="77777777" w:rsidR="0001689F" w:rsidRPr="00F652CF" w:rsidRDefault="0001689F" w:rsidP="00FE2582">
      <w:pPr>
        <w:rPr>
          <w:rFonts w:cstheme="minorHAnsi"/>
        </w:rPr>
      </w:pPr>
    </w:p>
    <w:p w14:paraId="7624BE11" w14:textId="6662102D" w:rsidR="005808BD" w:rsidRDefault="005808BD" w:rsidP="00FE2582">
      <w:pPr>
        <w:rPr>
          <w:rFonts w:cstheme="minorHAnsi"/>
        </w:rPr>
      </w:pPr>
      <w:r w:rsidRPr="005808BD">
        <w:rPr>
          <w:rFonts w:cstheme="minorHAnsi"/>
        </w:rPr>
        <w:t>Pensions where the value of the payment is so low fail to fulfil the right to social security and social protection because they do not provide an adequate standard of living and prevent older people livi</w:t>
      </w:r>
      <w:r w:rsidR="00FE2582">
        <w:rPr>
          <w:rFonts w:cstheme="minorHAnsi"/>
        </w:rPr>
        <w:t>ng</w:t>
      </w:r>
      <w:r w:rsidR="00DE40C8">
        <w:rPr>
          <w:rFonts w:cstheme="minorHAnsi"/>
        </w:rPr>
        <w:t xml:space="preserve"> dignified, </w:t>
      </w:r>
      <w:r w:rsidR="00FE2582">
        <w:rPr>
          <w:rFonts w:cstheme="minorHAnsi"/>
        </w:rPr>
        <w:t>autonomou</w:t>
      </w:r>
      <w:r w:rsidR="00DE40C8">
        <w:rPr>
          <w:rFonts w:cstheme="minorHAnsi"/>
        </w:rPr>
        <w:t xml:space="preserve">s and </w:t>
      </w:r>
      <w:r w:rsidR="00FE2582">
        <w:rPr>
          <w:rFonts w:cstheme="minorHAnsi"/>
        </w:rPr>
        <w:t>independent</w:t>
      </w:r>
      <w:r w:rsidR="00DE40C8">
        <w:rPr>
          <w:rFonts w:cstheme="minorHAnsi"/>
        </w:rPr>
        <w:t xml:space="preserve"> </w:t>
      </w:r>
      <w:r w:rsidRPr="005808BD">
        <w:rPr>
          <w:rFonts w:cstheme="minorHAnsi"/>
        </w:rPr>
        <w:t>lives and fully participating in society.</w:t>
      </w:r>
    </w:p>
    <w:p w14:paraId="66DEFC0B" w14:textId="5526CEFB" w:rsidR="00C113AE" w:rsidRDefault="00C113AE" w:rsidP="00FE2582">
      <w:pPr>
        <w:rPr>
          <w:rFonts w:cstheme="minorHAnsi"/>
          <w:b/>
          <w:color w:val="800000"/>
        </w:rPr>
      </w:pPr>
    </w:p>
    <w:p w14:paraId="26B64D62" w14:textId="300DEB3F" w:rsidR="00C6796B" w:rsidRPr="00F639F4" w:rsidRDefault="00A415D3" w:rsidP="00FE2582">
      <w:pPr>
        <w:rPr>
          <w:rFonts w:cstheme="minorHAnsi"/>
          <w:b/>
          <w:color w:val="800000"/>
        </w:rPr>
      </w:pPr>
      <w:r w:rsidRPr="00F639F4">
        <w:rPr>
          <w:rFonts w:cstheme="minorHAnsi"/>
          <w:b/>
          <w:color w:val="800000"/>
        </w:rPr>
        <w:t xml:space="preserve">International </w:t>
      </w:r>
      <w:r w:rsidR="00983217">
        <w:rPr>
          <w:rFonts w:cstheme="minorHAnsi"/>
          <w:b/>
          <w:color w:val="800000"/>
        </w:rPr>
        <w:t>l</w:t>
      </w:r>
      <w:r w:rsidR="00587727" w:rsidRPr="00F639F4">
        <w:rPr>
          <w:rFonts w:cstheme="minorHAnsi"/>
          <w:b/>
          <w:color w:val="800000"/>
        </w:rPr>
        <w:t>egal framework</w:t>
      </w:r>
    </w:p>
    <w:p w14:paraId="07086E1D" w14:textId="3FCDD082" w:rsidR="00F639F4" w:rsidRPr="00F639F4" w:rsidRDefault="00F639F4" w:rsidP="00FE2582">
      <w:pPr>
        <w:rPr>
          <w:rFonts w:cstheme="minorHAnsi"/>
        </w:rPr>
      </w:pPr>
      <w:r>
        <w:rPr>
          <w:rFonts w:cstheme="minorHAnsi"/>
        </w:rPr>
        <w:t>T</w:t>
      </w:r>
      <w:r w:rsidRPr="00F652CF">
        <w:rPr>
          <w:rFonts w:cstheme="minorHAnsi"/>
        </w:rPr>
        <w:t xml:space="preserve">he unique barriers older people face to their right to social security and social protection are not adequately covered under international human rights law. </w:t>
      </w:r>
      <w:r w:rsidRPr="00F639F4">
        <w:rPr>
          <w:rFonts w:cstheme="minorHAnsi"/>
        </w:rPr>
        <w:t xml:space="preserve">These recommendations on </w:t>
      </w:r>
      <w:r w:rsidR="00280FC6">
        <w:rPr>
          <w:rFonts w:cstheme="minorHAnsi"/>
        </w:rPr>
        <w:t>how</w:t>
      </w:r>
      <w:r w:rsidRPr="00F639F4">
        <w:rPr>
          <w:rFonts w:cstheme="minorHAnsi"/>
        </w:rPr>
        <w:t xml:space="preserve"> the right to social security and social protection should </w:t>
      </w:r>
      <w:r w:rsidR="00280FC6">
        <w:rPr>
          <w:rFonts w:cstheme="minorHAnsi"/>
        </w:rPr>
        <w:t>be applied in older age</w:t>
      </w:r>
      <w:r w:rsidRPr="00F639F4">
        <w:rPr>
          <w:rFonts w:cstheme="minorHAnsi"/>
        </w:rPr>
        <w:t xml:space="preserve"> are informed by older people’s experience as reported in this consultation. </w:t>
      </w:r>
    </w:p>
    <w:p w14:paraId="6974F233" w14:textId="77777777" w:rsidR="00F639F4" w:rsidRPr="00F639F4" w:rsidRDefault="00F639F4" w:rsidP="00FE2582">
      <w:pPr>
        <w:rPr>
          <w:rFonts w:cstheme="minorHAnsi"/>
        </w:rPr>
      </w:pPr>
    </w:p>
    <w:p w14:paraId="0ED7D9DA" w14:textId="77777777" w:rsidR="00F03074" w:rsidRPr="00F652CF" w:rsidRDefault="00F03074" w:rsidP="00F03074">
      <w:pPr>
        <w:rPr>
          <w:rFonts w:cstheme="minorHAnsi"/>
          <w:b/>
        </w:rPr>
      </w:pPr>
      <w:r w:rsidRPr="00F652CF">
        <w:rPr>
          <w:rFonts w:cstheme="minorHAnsi"/>
          <w:b/>
        </w:rPr>
        <w:t xml:space="preserve">Older people have the right to social protection </w:t>
      </w:r>
      <w:r>
        <w:rPr>
          <w:rFonts w:cstheme="minorHAnsi"/>
          <w:b/>
        </w:rPr>
        <w:t xml:space="preserve">and social security </w:t>
      </w:r>
      <w:r w:rsidRPr="00F652CF">
        <w:rPr>
          <w:rFonts w:cstheme="minorHAnsi"/>
          <w:b/>
        </w:rPr>
        <w:t>without discrimination based on age or any other ground</w:t>
      </w:r>
      <w:r>
        <w:rPr>
          <w:rFonts w:cstheme="minorHAnsi"/>
          <w:b/>
        </w:rPr>
        <w:t>s</w:t>
      </w:r>
      <w:r w:rsidRPr="00F652CF">
        <w:rPr>
          <w:rFonts w:cstheme="minorHAnsi"/>
          <w:b/>
        </w:rPr>
        <w:t>, so they can live</w:t>
      </w:r>
      <w:r>
        <w:rPr>
          <w:rFonts w:cstheme="minorHAnsi"/>
          <w:b/>
        </w:rPr>
        <w:t xml:space="preserve"> dignified, autonomous and independent lives</w:t>
      </w:r>
      <w:r w:rsidRPr="00F652CF">
        <w:rPr>
          <w:rFonts w:cstheme="minorHAnsi"/>
          <w:b/>
        </w:rPr>
        <w:t xml:space="preserve"> and fully participate in society.</w:t>
      </w:r>
    </w:p>
    <w:p w14:paraId="09CD2836" w14:textId="77777777" w:rsidR="00F03074" w:rsidRDefault="00F03074" w:rsidP="00F03074"/>
    <w:p w14:paraId="1E8C52F2" w14:textId="77777777" w:rsidR="00F03074" w:rsidRPr="003D1B3C" w:rsidRDefault="00F03074" w:rsidP="00F03074">
      <w:pPr>
        <w:rPr>
          <w:b/>
        </w:rPr>
      </w:pPr>
      <w:r w:rsidRPr="00F652CF">
        <w:t xml:space="preserve">The right includes social protection </w:t>
      </w:r>
      <w:r>
        <w:t xml:space="preserve">and social security </w:t>
      </w:r>
      <w:r w:rsidRPr="00F652CF">
        <w:t xml:space="preserve">measures, whether in cash or </w:t>
      </w:r>
      <w:r>
        <w:t xml:space="preserve">in </w:t>
      </w:r>
      <w:r w:rsidRPr="00F652CF">
        <w:t>kind, to ensure adequate income security, access to healthcare, medication and assistive devices, and access to care and support services for independent living in older age.</w:t>
      </w:r>
    </w:p>
    <w:p w14:paraId="0856D1A7" w14:textId="77777777" w:rsidR="00F03074" w:rsidRPr="00F652CF" w:rsidRDefault="00F03074" w:rsidP="00F03074"/>
    <w:p w14:paraId="5A0FB00A" w14:textId="77777777" w:rsidR="00F3618B" w:rsidRDefault="00F3618B" w:rsidP="00F03074">
      <w:pPr>
        <w:rPr>
          <w:rFonts w:cstheme="minorHAnsi"/>
          <w:b/>
        </w:rPr>
      </w:pPr>
    </w:p>
    <w:p w14:paraId="05B5AEF1" w14:textId="3EFBB9B2" w:rsidR="00F03074" w:rsidRPr="00F652CF" w:rsidRDefault="00F03074" w:rsidP="00F03074">
      <w:pPr>
        <w:rPr>
          <w:rFonts w:cstheme="minorHAnsi"/>
          <w:b/>
        </w:rPr>
      </w:pPr>
      <w:r w:rsidRPr="00F652CF">
        <w:rPr>
          <w:rFonts w:cstheme="minorHAnsi"/>
          <w:b/>
        </w:rPr>
        <w:t>Non-discrimination and equality</w:t>
      </w:r>
    </w:p>
    <w:p w14:paraId="2604FAAA" w14:textId="77777777" w:rsidR="00F03074" w:rsidRPr="007D388C" w:rsidRDefault="00F03074" w:rsidP="00F03074">
      <w:pPr>
        <w:pStyle w:val="BulletPoint"/>
        <w:rPr>
          <w:rFonts w:cstheme="minorHAnsi"/>
          <w:szCs w:val="24"/>
        </w:rPr>
      </w:pPr>
      <w:r w:rsidRPr="00F652CF">
        <w:t xml:space="preserve">All older people should enjoy this right without discrimination on </w:t>
      </w:r>
      <w:r>
        <w:t>the basis of</w:t>
      </w:r>
      <w:r w:rsidRPr="00F652CF">
        <w:t xml:space="preserve"> their age</w:t>
      </w:r>
      <w:r>
        <w:t>,</w:t>
      </w:r>
      <w:r w:rsidRPr="00F652CF">
        <w:t xml:space="preserve"> </w:t>
      </w:r>
      <w:r>
        <w:t>gender, disability or any other grounds</w:t>
      </w:r>
      <w:r w:rsidRPr="00F652CF">
        <w:t xml:space="preserve">. </w:t>
      </w:r>
    </w:p>
    <w:p w14:paraId="28111E8E" w14:textId="77777777" w:rsidR="00F03074" w:rsidRPr="00EC04F6" w:rsidRDefault="00F03074" w:rsidP="00F03074">
      <w:pPr>
        <w:pStyle w:val="BulletPoint"/>
      </w:pPr>
      <w:r w:rsidRPr="00CE1C90">
        <w:t xml:space="preserve">Social protection </w:t>
      </w:r>
      <w:r>
        <w:t xml:space="preserve">and social security </w:t>
      </w:r>
      <w:r w:rsidRPr="00CE1C90">
        <w:t xml:space="preserve">schemes </w:t>
      </w:r>
      <w:r>
        <w:t>should</w:t>
      </w:r>
      <w:r w:rsidRPr="00CE1C90">
        <w:t xml:space="preserve"> be</w:t>
      </w:r>
      <w:r>
        <w:t xml:space="preserve"> designed so that they do not discriminate on the basis of age, gender, disability or any other grounds.</w:t>
      </w:r>
    </w:p>
    <w:p w14:paraId="33CDFC69" w14:textId="77777777" w:rsidR="00F03074" w:rsidRPr="00F652CF" w:rsidRDefault="00F03074" w:rsidP="00F03074">
      <w:pPr>
        <w:rPr>
          <w:rFonts w:cstheme="minorHAnsi"/>
          <w:b/>
        </w:rPr>
      </w:pPr>
    </w:p>
    <w:p w14:paraId="00592549" w14:textId="77777777" w:rsidR="00F03074" w:rsidRPr="008C37AE" w:rsidRDefault="00F03074" w:rsidP="00F03074">
      <w:pPr>
        <w:rPr>
          <w:rFonts w:cstheme="minorHAnsi"/>
          <w:b/>
        </w:rPr>
      </w:pPr>
      <w:r w:rsidRPr="008C37AE">
        <w:rPr>
          <w:rFonts w:cstheme="minorHAnsi"/>
          <w:b/>
        </w:rPr>
        <w:t>Accessibility</w:t>
      </w:r>
    </w:p>
    <w:p w14:paraId="76F80C86" w14:textId="77777777" w:rsidR="00F03074" w:rsidRPr="008C37AE" w:rsidRDefault="00F03074" w:rsidP="00F03074">
      <w:pPr>
        <w:pStyle w:val="BulletPoint"/>
      </w:pPr>
      <w:r w:rsidRPr="008C37AE">
        <w:t xml:space="preserve">All older people </w:t>
      </w:r>
      <w:r>
        <w:t>have the right to</w:t>
      </w:r>
      <w:r w:rsidRPr="008C37AE">
        <w:t xml:space="preserve"> access social protection and social security schemes without discrimination.</w:t>
      </w:r>
    </w:p>
    <w:p w14:paraId="25057AED" w14:textId="77777777" w:rsidR="00F03074" w:rsidRDefault="00F03074" w:rsidP="00F03074">
      <w:pPr>
        <w:pStyle w:val="BulletPoint"/>
      </w:pPr>
      <w:r>
        <w:t xml:space="preserve">Older people have the right to access information on all aspects of social protection and social security schemes, including information on eligibility, entitlements and fees. </w:t>
      </w:r>
    </w:p>
    <w:p w14:paraId="5E499CE7" w14:textId="77777777" w:rsidR="00F03074" w:rsidRPr="008C37AE" w:rsidRDefault="00F03074" w:rsidP="00F03074">
      <w:pPr>
        <w:pStyle w:val="BulletPoint"/>
      </w:pPr>
      <w:r w:rsidRPr="008C37AE">
        <w:t>Older people</w:t>
      </w:r>
      <w:r>
        <w:t>,</w:t>
      </w:r>
      <w:r w:rsidRPr="008C37AE">
        <w:t xml:space="preserve"> including </w:t>
      </w:r>
      <w:r>
        <w:t>those</w:t>
      </w:r>
      <w:r w:rsidRPr="008C37AE">
        <w:t xml:space="preserve"> without identity documentation</w:t>
      </w:r>
      <w:r>
        <w:t>,</w:t>
      </w:r>
      <w:r w:rsidRPr="008C37AE">
        <w:t xml:space="preserve"> should have access to support with applying for social protection and social security measures without delay</w:t>
      </w:r>
      <w:r>
        <w:t>.</w:t>
      </w:r>
    </w:p>
    <w:p w14:paraId="49153CB5" w14:textId="77777777" w:rsidR="00F03074" w:rsidRDefault="00F03074" w:rsidP="00F03074">
      <w:pPr>
        <w:pStyle w:val="BulletPoint"/>
      </w:pPr>
      <w:r w:rsidRPr="00F652CF">
        <w:t xml:space="preserve">Delivery mechanisms for social protection </w:t>
      </w:r>
      <w:r>
        <w:t xml:space="preserve">and social security </w:t>
      </w:r>
      <w:r w:rsidRPr="00F652CF">
        <w:t>measures must be adapted so they are accessible</w:t>
      </w:r>
      <w:r>
        <w:t xml:space="preserve"> and affordable</w:t>
      </w:r>
      <w:r w:rsidRPr="00F652CF">
        <w:t xml:space="preserve"> for all older people without discrimination</w:t>
      </w:r>
      <w:r>
        <w:t>.</w:t>
      </w:r>
    </w:p>
    <w:p w14:paraId="4EC6D015" w14:textId="77777777" w:rsidR="00F03074" w:rsidRDefault="00F03074" w:rsidP="00F03074">
      <w:pPr>
        <w:pStyle w:val="BulletPoint"/>
      </w:pPr>
      <w:r>
        <w:t>Social protection and social security measures must be portable and accessible to older people.</w:t>
      </w:r>
    </w:p>
    <w:p w14:paraId="3C2997C9" w14:textId="77777777" w:rsidR="00F03074" w:rsidRDefault="00F03074" w:rsidP="00F03074">
      <w:pPr>
        <w:rPr>
          <w:rFonts w:cstheme="minorHAnsi"/>
          <w:b/>
        </w:rPr>
      </w:pPr>
    </w:p>
    <w:p w14:paraId="22B0D1EA" w14:textId="77777777" w:rsidR="00F03074" w:rsidRDefault="00F03074" w:rsidP="00F03074">
      <w:pPr>
        <w:rPr>
          <w:rFonts w:cstheme="minorHAnsi"/>
          <w:b/>
        </w:rPr>
      </w:pPr>
      <w:r w:rsidRPr="00CE1C90">
        <w:rPr>
          <w:rFonts w:cstheme="minorHAnsi"/>
          <w:b/>
        </w:rPr>
        <w:t>Availability</w:t>
      </w:r>
    </w:p>
    <w:p w14:paraId="7471B3F4" w14:textId="77777777" w:rsidR="00F03074" w:rsidRDefault="00F03074" w:rsidP="00F03074">
      <w:pPr>
        <w:pStyle w:val="BulletPoint"/>
      </w:pPr>
      <w:r>
        <w:t>Social protection and social security schemes must be in place to provide older people with social protection and social security measures relevant to the risks and contingencies they face, i</w:t>
      </w:r>
      <w:r w:rsidRPr="00CE1C90">
        <w:t>ncluding in relation to care and support</w:t>
      </w:r>
      <w:r>
        <w:t>.</w:t>
      </w:r>
    </w:p>
    <w:p w14:paraId="49118F73" w14:textId="77777777" w:rsidR="00F03074" w:rsidRPr="00F652CF" w:rsidRDefault="00F03074" w:rsidP="00F03074">
      <w:pPr>
        <w:rPr>
          <w:rFonts w:cstheme="minorHAnsi"/>
          <w:b/>
        </w:rPr>
      </w:pPr>
    </w:p>
    <w:p w14:paraId="41B919B3" w14:textId="77777777" w:rsidR="00F03074" w:rsidRPr="00F652CF" w:rsidRDefault="00F03074" w:rsidP="00F03074">
      <w:pPr>
        <w:rPr>
          <w:rFonts w:cstheme="minorHAnsi"/>
          <w:b/>
        </w:rPr>
      </w:pPr>
      <w:r w:rsidRPr="00F652CF">
        <w:rPr>
          <w:rFonts w:cstheme="minorHAnsi"/>
          <w:b/>
        </w:rPr>
        <w:t>Adequacy</w:t>
      </w:r>
    </w:p>
    <w:p w14:paraId="751BC995" w14:textId="77777777" w:rsidR="00F03074" w:rsidRPr="00EE514B" w:rsidRDefault="00F03074" w:rsidP="00F03074">
      <w:pPr>
        <w:pStyle w:val="BulletPoint"/>
        <w:ind w:left="357" w:hanging="357"/>
      </w:pPr>
      <w:r>
        <w:t>Older people have the right to social protection and social security measures, whether in cash or in kind, of a high enough value and quality, and for a long enough duration of time for an adequate standard of living and to enable them to live dignified, autonomous, independent lives and fully participate in society.</w:t>
      </w:r>
    </w:p>
    <w:p w14:paraId="46114600" w14:textId="77777777" w:rsidR="00F03074" w:rsidRDefault="00F03074" w:rsidP="00F03074">
      <w:pPr>
        <w:rPr>
          <w:rFonts w:cstheme="minorHAnsi"/>
          <w:b/>
        </w:rPr>
      </w:pPr>
    </w:p>
    <w:p w14:paraId="1FB744FE" w14:textId="77777777" w:rsidR="00F03074" w:rsidRPr="00F652CF" w:rsidRDefault="00F03074" w:rsidP="00F03074">
      <w:pPr>
        <w:rPr>
          <w:rFonts w:cstheme="minorHAnsi"/>
          <w:b/>
        </w:rPr>
      </w:pPr>
      <w:r w:rsidRPr="00F652CF">
        <w:rPr>
          <w:rFonts w:cstheme="minorHAnsi"/>
          <w:b/>
        </w:rPr>
        <w:t>Acceptability</w:t>
      </w:r>
    </w:p>
    <w:p w14:paraId="54DE99B1" w14:textId="77777777" w:rsidR="00F03074" w:rsidRPr="00EE514B" w:rsidRDefault="00F03074" w:rsidP="00F03074">
      <w:pPr>
        <w:pStyle w:val="BulletPoint"/>
        <w:ind w:left="357" w:hanging="357"/>
      </w:pPr>
      <w:r>
        <w:t>Older people have the right to s</w:t>
      </w:r>
      <w:r w:rsidRPr="00F652CF">
        <w:t>ocial assista</w:t>
      </w:r>
      <w:r>
        <w:t xml:space="preserve">nce and in-kind social protection and social security measures that are appropriate and acceptable for their </w:t>
      </w:r>
      <w:r w:rsidRPr="00F652CF">
        <w:t>needs and preferences.</w:t>
      </w:r>
    </w:p>
    <w:p w14:paraId="7ABAF7D5" w14:textId="77777777" w:rsidR="00F03074" w:rsidRPr="006A3C82" w:rsidRDefault="00F03074" w:rsidP="00F03074">
      <w:pPr>
        <w:pStyle w:val="BulletPoint"/>
        <w:numPr>
          <w:ilvl w:val="0"/>
          <w:numId w:val="0"/>
        </w:numPr>
        <w:ind w:left="360"/>
      </w:pPr>
    </w:p>
    <w:p w14:paraId="71C2B317" w14:textId="77777777" w:rsidR="00F03074" w:rsidRPr="00F652CF" w:rsidRDefault="00F03074" w:rsidP="00F03074">
      <w:pPr>
        <w:rPr>
          <w:rFonts w:cstheme="minorHAnsi"/>
          <w:b/>
        </w:rPr>
      </w:pPr>
      <w:r w:rsidRPr="00F963A6">
        <w:rPr>
          <w:rFonts w:cstheme="minorHAnsi"/>
          <w:b/>
        </w:rPr>
        <w:t>Autonomy</w:t>
      </w:r>
    </w:p>
    <w:p w14:paraId="555D7E5A" w14:textId="77777777" w:rsidR="00F03074" w:rsidRPr="006A3C82" w:rsidRDefault="00F03074" w:rsidP="00F03074">
      <w:pPr>
        <w:pStyle w:val="BulletPoint"/>
      </w:pPr>
      <w:r>
        <w:t xml:space="preserve">Older people have the right to mechanisms, including </w:t>
      </w:r>
      <w:r w:rsidRPr="008D3B62">
        <w:t>supported-decision-making</w:t>
      </w:r>
      <w:r>
        <w:t xml:space="preserve"> processes, to exercise their right to autonomy and independence in relation to the use of income from social protection and social security schemes.</w:t>
      </w:r>
    </w:p>
    <w:p w14:paraId="7EC52C6A" w14:textId="77777777" w:rsidR="00F03074" w:rsidRDefault="00F03074" w:rsidP="00F03074">
      <w:pPr>
        <w:rPr>
          <w:rFonts w:cstheme="minorHAnsi"/>
          <w:b/>
        </w:rPr>
      </w:pPr>
    </w:p>
    <w:p w14:paraId="6D45EA06" w14:textId="77777777" w:rsidR="00F03074" w:rsidRPr="00F652CF" w:rsidRDefault="00F03074" w:rsidP="00F03074">
      <w:pPr>
        <w:rPr>
          <w:rFonts w:cstheme="minorHAnsi"/>
          <w:b/>
        </w:rPr>
      </w:pPr>
      <w:r w:rsidRPr="00F652CF">
        <w:rPr>
          <w:rFonts w:cstheme="minorHAnsi"/>
          <w:b/>
        </w:rPr>
        <w:t>Accountability, remedies and redress</w:t>
      </w:r>
    </w:p>
    <w:p w14:paraId="2E2FCA69" w14:textId="77777777" w:rsidR="00F03074" w:rsidRPr="006A3C82" w:rsidRDefault="00F03074" w:rsidP="00F03074">
      <w:pPr>
        <w:pStyle w:val="BulletPoint"/>
      </w:pPr>
      <w:r>
        <w:t>Older people have the right to access accountability mechanisms that provide for complaints and appeals, and for remedies and redress when their right to social protection and social security is violated.</w:t>
      </w:r>
    </w:p>
    <w:p w14:paraId="3455E9FE" w14:textId="26E14953" w:rsidR="00C113AE" w:rsidRDefault="00C113AE" w:rsidP="00FE2582">
      <w:pPr>
        <w:rPr>
          <w:rFonts w:cstheme="minorHAnsi"/>
        </w:rPr>
      </w:pPr>
    </w:p>
    <w:p w14:paraId="2BC6B8E4" w14:textId="01AFBE1A" w:rsidR="00F3618B" w:rsidRDefault="00F3618B" w:rsidP="00FE2582">
      <w:pPr>
        <w:rPr>
          <w:rFonts w:cstheme="minorHAnsi"/>
        </w:rPr>
      </w:pPr>
    </w:p>
    <w:p w14:paraId="446F2426" w14:textId="77777777" w:rsidR="006B4BA0" w:rsidRPr="00F639F4" w:rsidRDefault="006B4BA0" w:rsidP="00FE2582">
      <w:pPr>
        <w:rPr>
          <w:rFonts w:cstheme="minorHAnsi"/>
        </w:rPr>
      </w:pPr>
      <w:bookmarkStart w:id="2" w:name="_GoBack"/>
      <w:bookmarkEnd w:id="2"/>
    </w:p>
    <w:p w14:paraId="408B53DF" w14:textId="36B88E8F" w:rsidR="00F86C09" w:rsidRPr="00123687" w:rsidRDefault="006E7F3C" w:rsidP="00FE2582">
      <w:pPr>
        <w:rPr>
          <w:rFonts w:cstheme="minorHAnsi"/>
          <w:sz w:val="20"/>
          <w:szCs w:val="20"/>
        </w:rPr>
      </w:pPr>
      <w:r w:rsidRPr="00123687">
        <w:rPr>
          <w:rFonts w:cstheme="minorHAnsi"/>
          <w:sz w:val="20"/>
          <w:szCs w:val="20"/>
        </w:rPr>
        <w:t xml:space="preserve">A full report of the consultation findings will be submitted </w:t>
      </w:r>
      <w:r w:rsidR="004153CD" w:rsidRPr="00123687">
        <w:rPr>
          <w:rFonts w:cstheme="minorHAnsi"/>
          <w:sz w:val="20"/>
          <w:szCs w:val="20"/>
        </w:rPr>
        <w:t xml:space="preserve">to the OEWG </w:t>
      </w:r>
      <w:r w:rsidRPr="00123687">
        <w:rPr>
          <w:rFonts w:cstheme="minorHAnsi"/>
          <w:sz w:val="20"/>
          <w:szCs w:val="20"/>
        </w:rPr>
        <w:t xml:space="preserve">in advance </w:t>
      </w:r>
      <w:r w:rsidR="00587727" w:rsidRPr="00123687">
        <w:rPr>
          <w:rFonts w:cstheme="minorHAnsi"/>
          <w:sz w:val="20"/>
          <w:szCs w:val="20"/>
        </w:rPr>
        <w:t>of the 10</w:t>
      </w:r>
      <w:r w:rsidR="00587727" w:rsidRPr="00123687">
        <w:rPr>
          <w:rFonts w:cstheme="minorHAnsi"/>
          <w:sz w:val="20"/>
          <w:szCs w:val="20"/>
          <w:vertAlign w:val="superscript"/>
        </w:rPr>
        <w:t>th</w:t>
      </w:r>
      <w:r w:rsidR="00587727" w:rsidRPr="00123687">
        <w:rPr>
          <w:rFonts w:cstheme="minorHAnsi"/>
          <w:sz w:val="20"/>
          <w:szCs w:val="20"/>
        </w:rPr>
        <w:t xml:space="preserve"> </w:t>
      </w:r>
      <w:r w:rsidRPr="00123687">
        <w:rPr>
          <w:rFonts w:cstheme="minorHAnsi"/>
          <w:sz w:val="20"/>
          <w:szCs w:val="20"/>
        </w:rPr>
        <w:t xml:space="preserve">Session. </w:t>
      </w:r>
      <w:r w:rsidR="00F86C09" w:rsidRPr="00123687">
        <w:rPr>
          <w:rFonts w:cstheme="minorHAnsi"/>
          <w:sz w:val="20"/>
          <w:szCs w:val="20"/>
        </w:rPr>
        <w:t xml:space="preserve">For further information contact Bridget Sleap, HelpAge International </w:t>
      </w:r>
      <w:hyperlink r:id="rId9" w:history="1">
        <w:r w:rsidR="00F86C09" w:rsidRPr="00123687">
          <w:rPr>
            <w:rStyle w:val="Hyperlink"/>
            <w:rFonts w:cstheme="minorHAnsi"/>
            <w:sz w:val="20"/>
            <w:szCs w:val="20"/>
          </w:rPr>
          <w:t>bsleap@helpage.org</w:t>
        </w:r>
      </w:hyperlink>
      <w:r w:rsidR="00F86C09" w:rsidRPr="00123687">
        <w:rPr>
          <w:rFonts w:cstheme="minorHAnsi"/>
          <w:sz w:val="20"/>
          <w:szCs w:val="20"/>
        </w:rPr>
        <w:t xml:space="preserve">  </w:t>
      </w:r>
    </w:p>
    <w:sectPr w:rsidR="00F86C09" w:rsidRPr="00123687" w:rsidSect="00CC47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D834" w14:textId="77777777" w:rsidR="00277BFF" w:rsidRDefault="00277BFF" w:rsidP="00F86C09">
      <w:r>
        <w:separator/>
      </w:r>
    </w:p>
  </w:endnote>
  <w:endnote w:type="continuationSeparator" w:id="0">
    <w:p w14:paraId="20CD219C" w14:textId="77777777" w:rsidR="00277BFF" w:rsidRDefault="00277BFF" w:rsidP="00F8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566C" w14:textId="77777777" w:rsidR="001C3AA6" w:rsidRDefault="001C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38476"/>
      <w:docPartObj>
        <w:docPartGallery w:val="Page Numbers (Bottom of Page)"/>
        <w:docPartUnique/>
      </w:docPartObj>
    </w:sdtPr>
    <w:sdtEndPr>
      <w:rPr>
        <w:noProof/>
        <w:sz w:val="20"/>
        <w:szCs w:val="20"/>
      </w:rPr>
    </w:sdtEndPr>
    <w:sdtContent>
      <w:p w14:paraId="4FD48247" w14:textId="655B9601" w:rsidR="00E95E95" w:rsidRPr="00AE1515" w:rsidRDefault="00E95E95">
        <w:pPr>
          <w:pStyle w:val="Footer"/>
          <w:jc w:val="right"/>
          <w:rPr>
            <w:sz w:val="20"/>
            <w:szCs w:val="20"/>
          </w:rPr>
        </w:pPr>
        <w:r w:rsidRPr="00AE1515">
          <w:rPr>
            <w:sz w:val="20"/>
            <w:szCs w:val="20"/>
          </w:rPr>
          <w:fldChar w:fldCharType="begin"/>
        </w:r>
        <w:r w:rsidRPr="00AE1515">
          <w:rPr>
            <w:sz w:val="20"/>
            <w:szCs w:val="20"/>
          </w:rPr>
          <w:instrText xml:space="preserve"> PAGE   \* MERGEFORMAT </w:instrText>
        </w:r>
        <w:r w:rsidRPr="00AE1515">
          <w:rPr>
            <w:sz w:val="20"/>
            <w:szCs w:val="20"/>
          </w:rPr>
          <w:fldChar w:fldCharType="separate"/>
        </w:r>
        <w:r w:rsidR="00AF6415">
          <w:rPr>
            <w:noProof/>
            <w:sz w:val="20"/>
            <w:szCs w:val="20"/>
          </w:rPr>
          <w:t>3</w:t>
        </w:r>
        <w:r w:rsidRPr="00AE1515">
          <w:rPr>
            <w:noProof/>
            <w:sz w:val="20"/>
            <w:szCs w:val="20"/>
          </w:rPr>
          <w:fldChar w:fldCharType="end"/>
        </w:r>
      </w:p>
    </w:sdtContent>
  </w:sdt>
  <w:p w14:paraId="2696C0DA" w14:textId="77777777" w:rsidR="00E95E95" w:rsidRDefault="00E95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AB2" w14:textId="77777777" w:rsidR="001C3AA6" w:rsidRDefault="001C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54BD" w14:textId="77777777" w:rsidR="00277BFF" w:rsidRDefault="00277BFF" w:rsidP="00F86C09">
      <w:r>
        <w:separator/>
      </w:r>
    </w:p>
  </w:footnote>
  <w:footnote w:type="continuationSeparator" w:id="0">
    <w:p w14:paraId="1D5D7E24" w14:textId="77777777" w:rsidR="00277BFF" w:rsidRDefault="00277BFF" w:rsidP="00F86C09">
      <w:r>
        <w:continuationSeparator/>
      </w:r>
    </w:p>
  </w:footnote>
  <w:footnote w:id="1">
    <w:p w14:paraId="332271B0" w14:textId="77777777" w:rsidR="00CB610F" w:rsidRPr="00CB610F" w:rsidRDefault="00CB610F" w:rsidP="00CB610F">
      <w:pPr>
        <w:rPr>
          <w:rFonts w:cstheme="minorHAnsi"/>
          <w:sz w:val="18"/>
          <w:szCs w:val="18"/>
        </w:rPr>
      </w:pPr>
      <w:r w:rsidRPr="00CB610F">
        <w:rPr>
          <w:rStyle w:val="FootnoteReference"/>
          <w:rFonts w:cstheme="minorHAnsi"/>
          <w:sz w:val="18"/>
          <w:szCs w:val="18"/>
        </w:rPr>
        <w:footnoteRef/>
      </w:r>
      <w:r w:rsidRPr="00CB610F">
        <w:rPr>
          <w:rFonts w:cstheme="minorHAnsi"/>
          <w:sz w:val="18"/>
          <w:szCs w:val="18"/>
        </w:rPr>
        <w:t xml:space="preserve"> </w:t>
      </w:r>
      <w:bookmarkStart w:id="0" w:name="_Hlk533070208"/>
      <w:r w:rsidRPr="00CB610F">
        <w:rPr>
          <w:rFonts w:cstheme="minorHAnsi"/>
          <w:sz w:val="18"/>
          <w:szCs w:val="18"/>
        </w:rPr>
        <w:t>Argentina, Cambodia, Denmark, Finland, Jordan, Kenya, Kyrgyzstan, Lesotho, Mauritius, Moldova, Mongolia, Myanmar, Nepal, Russian Federation, Rwanda, Serbia, Slovenia, South Africa, Sudan, Tajikistan, Tanzania, Ukraine, Zambia</w:t>
      </w:r>
      <w:bookmarkEnd w:id="0"/>
    </w:p>
  </w:footnote>
  <w:footnote w:id="2">
    <w:p w14:paraId="483FD740" w14:textId="77777777" w:rsidR="005E1E92" w:rsidRPr="00F410D8" w:rsidRDefault="005E1E92" w:rsidP="005E1E92">
      <w:pPr>
        <w:pStyle w:val="FootnoteText"/>
        <w:rPr>
          <w:szCs w:val="16"/>
        </w:rPr>
      </w:pPr>
      <w:r w:rsidRPr="00CB610F">
        <w:rPr>
          <w:sz w:val="18"/>
          <w:szCs w:val="18"/>
        </w:rPr>
        <w:footnoteRef/>
      </w:r>
      <w:r w:rsidRPr="00CB610F">
        <w:rPr>
          <w:sz w:val="18"/>
          <w:szCs w:val="18"/>
        </w:rPr>
        <w:t xml:space="preserve">. ILO, </w:t>
      </w:r>
      <w:r w:rsidRPr="00CB610F">
        <w:rPr>
          <w:i/>
          <w:sz w:val="18"/>
          <w:szCs w:val="18"/>
        </w:rPr>
        <w:t>World Social Protection Report 2017–19: Universal social protection to achieve the Sustainable Development Goals</w:t>
      </w:r>
      <w:r w:rsidRPr="00CB610F">
        <w:rPr>
          <w:sz w:val="18"/>
          <w:szCs w:val="18"/>
        </w:rPr>
        <w:t>, 2017, p.75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8A05" w14:textId="77777777" w:rsidR="001C3AA6" w:rsidRDefault="001C3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9F25" w14:textId="771AFBD4" w:rsidR="00E95E95" w:rsidRPr="00AE1515" w:rsidRDefault="00E95E95">
    <w:pPr>
      <w:pStyle w:val="Header"/>
      <w:rPr>
        <w:rFonts w:cstheme="minorHAnsi"/>
        <w:sz w:val="20"/>
        <w:szCs w:val="20"/>
      </w:rPr>
    </w:pPr>
    <w:r w:rsidRPr="00AE1515">
      <w:rPr>
        <w:rFonts w:cstheme="minorHAnsi"/>
        <w:sz w:val="20"/>
        <w:szCs w:val="20"/>
      </w:rPr>
      <w:t xml:space="preserve">HelpAge International, </w:t>
    </w:r>
    <w:r w:rsidR="0047217E">
      <w:rPr>
        <w:rFonts w:cstheme="minorHAnsi"/>
        <w:sz w:val="20"/>
        <w:szCs w:val="20"/>
      </w:rPr>
      <w:t>February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8A62" w14:textId="77777777" w:rsidR="001C3AA6" w:rsidRDefault="001C3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829"/>
    <w:multiLevelType w:val="hybridMultilevel"/>
    <w:tmpl w:val="EEA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29F2"/>
    <w:multiLevelType w:val="hybridMultilevel"/>
    <w:tmpl w:val="86C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22F0"/>
    <w:multiLevelType w:val="hybridMultilevel"/>
    <w:tmpl w:val="E0D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62D"/>
    <w:multiLevelType w:val="hybridMultilevel"/>
    <w:tmpl w:val="E7BA584C"/>
    <w:lvl w:ilvl="0" w:tplc="DDBE6C4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3C6919"/>
    <w:multiLevelType w:val="hybridMultilevel"/>
    <w:tmpl w:val="72D0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F22D6"/>
    <w:multiLevelType w:val="hybridMultilevel"/>
    <w:tmpl w:val="E4AA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E29D2"/>
    <w:multiLevelType w:val="hybridMultilevel"/>
    <w:tmpl w:val="5A8A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44D8"/>
    <w:multiLevelType w:val="hybridMultilevel"/>
    <w:tmpl w:val="8C06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C2992"/>
    <w:multiLevelType w:val="hybridMultilevel"/>
    <w:tmpl w:val="E6804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B26545"/>
    <w:multiLevelType w:val="hybridMultilevel"/>
    <w:tmpl w:val="8B2C9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F13F11"/>
    <w:multiLevelType w:val="hybridMultilevel"/>
    <w:tmpl w:val="E08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1732C"/>
    <w:multiLevelType w:val="hybridMultilevel"/>
    <w:tmpl w:val="9D42662C"/>
    <w:lvl w:ilvl="0" w:tplc="09822F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E44A43"/>
    <w:multiLevelType w:val="hybridMultilevel"/>
    <w:tmpl w:val="737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E77FA"/>
    <w:multiLevelType w:val="hybridMultilevel"/>
    <w:tmpl w:val="E71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B2D4C"/>
    <w:multiLevelType w:val="hybridMultilevel"/>
    <w:tmpl w:val="BC0C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673BC"/>
    <w:multiLevelType w:val="hybridMultilevel"/>
    <w:tmpl w:val="4692DECA"/>
    <w:lvl w:ilvl="0" w:tplc="3CFABDB8">
      <w:start w:val="1"/>
      <w:numFmt w:val="bullet"/>
      <w:pStyle w:val="BulletPoint"/>
      <w:lvlText w:val=""/>
      <w:lvlJc w:val="left"/>
      <w:pPr>
        <w:ind w:left="36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61FF1"/>
    <w:multiLevelType w:val="multilevel"/>
    <w:tmpl w:val="36A8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F1CB1"/>
    <w:multiLevelType w:val="hybridMultilevel"/>
    <w:tmpl w:val="37C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45182"/>
    <w:multiLevelType w:val="hybridMultilevel"/>
    <w:tmpl w:val="D63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D6AD1"/>
    <w:multiLevelType w:val="hybridMultilevel"/>
    <w:tmpl w:val="440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85CBF"/>
    <w:multiLevelType w:val="hybridMultilevel"/>
    <w:tmpl w:val="8556A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0C7672"/>
    <w:multiLevelType w:val="hybridMultilevel"/>
    <w:tmpl w:val="A55C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7477A"/>
    <w:multiLevelType w:val="hybridMultilevel"/>
    <w:tmpl w:val="02D2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9"/>
  </w:num>
  <w:num w:numId="5">
    <w:abstractNumId w:val="12"/>
  </w:num>
  <w:num w:numId="6">
    <w:abstractNumId w:val="5"/>
  </w:num>
  <w:num w:numId="7">
    <w:abstractNumId w:val="21"/>
  </w:num>
  <w:num w:numId="8">
    <w:abstractNumId w:val="7"/>
  </w:num>
  <w:num w:numId="9">
    <w:abstractNumId w:val="11"/>
  </w:num>
  <w:num w:numId="10">
    <w:abstractNumId w:val="8"/>
  </w:num>
  <w:num w:numId="11">
    <w:abstractNumId w:val="9"/>
  </w:num>
  <w:num w:numId="12">
    <w:abstractNumId w:val="0"/>
  </w:num>
  <w:num w:numId="13">
    <w:abstractNumId w:val="10"/>
  </w:num>
  <w:num w:numId="14">
    <w:abstractNumId w:val="18"/>
  </w:num>
  <w:num w:numId="15">
    <w:abstractNumId w:val="13"/>
  </w:num>
  <w:num w:numId="16">
    <w:abstractNumId w:val="20"/>
  </w:num>
  <w:num w:numId="17">
    <w:abstractNumId w:val="16"/>
  </w:num>
  <w:num w:numId="18">
    <w:abstractNumId w:val="1"/>
  </w:num>
  <w:num w:numId="19">
    <w:abstractNumId w:val="22"/>
  </w:num>
  <w:num w:numId="20">
    <w:abstractNumId w:val="14"/>
  </w:num>
  <w:num w:numId="21">
    <w:abstractNumId w:val="4"/>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9"/>
    <w:rsid w:val="00013A11"/>
    <w:rsid w:val="000147AD"/>
    <w:rsid w:val="0001689F"/>
    <w:rsid w:val="0004080E"/>
    <w:rsid w:val="00041CD7"/>
    <w:rsid w:val="0006546F"/>
    <w:rsid w:val="000724F8"/>
    <w:rsid w:val="000A4CDE"/>
    <w:rsid w:val="000C20ED"/>
    <w:rsid w:val="000E0F22"/>
    <w:rsid w:val="0010269A"/>
    <w:rsid w:val="00107A5D"/>
    <w:rsid w:val="00112891"/>
    <w:rsid w:val="00123687"/>
    <w:rsid w:val="001521A1"/>
    <w:rsid w:val="001C3AA6"/>
    <w:rsid w:val="001C4F14"/>
    <w:rsid w:val="001D3E33"/>
    <w:rsid w:val="002378BD"/>
    <w:rsid w:val="00277BFF"/>
    <w:rsid w:val="00280FC6"/>
    <w:rsid w:val="002B0842"/>
    <w:rsid w:val="002B6848"/>
    <w:rsid w:val="00320C4E"/>
    <w:rsid w:val="003B1FC2"/>
    <w:rsid w:val="004153CD"/>
    <w:rsid w:val="00455FE6"/>
    <w:rsid w:val="0047217E"/>
    <w:rsid w:val="004852E0"/>
    <w:rsid w:val="004E4E8F"/>
    <w:rsid w:val="004F3CED"/>
    <w:rsid w:val="004F7758"/>
    <w:rsid w:val="005409E6"/>
    <w:rsid w:val="005808BD"/>
    <w:rsid w:val="00587727"/>
    <w:rsid w:val="00597CA9"/>
    <w:rsid w:val="005A1A6F"/>
    <w:rsid w:val="005B1708"/>
    <w:rsid w:val="005B3063"/>
    <w:rsid w:val="005E1E92"/>
    <w:rsid w:val="005F6EDF"/>
    <w:rsid w:val="00681002"/>
    <w:rsid w:val="00682612"/>
    <w:rsid w:val="00692D5D"/>
    <w:rsid w:val="00694845"/>
    <w:rsid w:val="006B4BA0"/>
    <w:rsid w:val="006E7F3C"/>
    <w:rsid w:val="006F3022"/>
    <w:rsid w:val="007519B1"/>
    <w:rsid w:val="007A433C"/>
    <w:rsid w:val="007B79D7"/>
    <w:rsid w:val="007D4A95"/>
    <w:rsid w:val="00804DA9"/>
    <w:rsid w:val="008702E5"/>
    <w:rsid w:val="008A0E05"/>
    <w:rsid w:val="008B6BA5"/>
    <w:rsid w:val="008E455E"/>
    <w:rsid w:val="008F5C05"/>
    <w:rsid w:val="00963A74"/>
    <w:rsid w:val="00983217"/>
    <w:rsid w:val="009A38B4"/>
    <w:rsid w:val="009A6DC5"/>
    <w:rsid w:val="009D7AC9"/>
    <w:rsid w:val="009E7733"/>
    <w:rsid w:val="009F7768"/>
    <w:rsid w:val="00A33FE7"/>
    <w:rsid w:val="00A415D3"/>
    <w:rsid w:val="00A55946"/>
    <w:rsid w:val="00A60CE4"/>
    <w:rsid w:val="00AB6200"/>
    <w:rsid w:val="00AD7604"/>
    <w:rsid w:val="00AE1515"/>
    <w:rsid w:val="00AF1CEC"/>
    <w:rsid w:val="00AF6415"/>
    <w:rsid w:val="00AF6A23"/>
    <w:rsid w:val="00B048E9"/>
    <w:rsid w:val="00B0733D"/>
    <w:rsid w:val="00B91366"/>
    <w:rsid w:val="00B959EA"/>
    <w:rsid w:val="00C047E7"/>
    <w:rsid w:val="00C07CFD"/>
    <w:rsid w:val="00C113AE"/>
    <w:rsid w:val="00C56DA4"/>
    <w:rsid w:val="00C662E9"/>
    <w:rsid w:val="00C6796B"/>
    <w:rsid w:val="00C83A66"/>
    <w:rsid w:val="00CA6184"/>
    <w:rsid w:val="00CB610F"/>
    <w:rsid w:val="00CB7303"/>
    <w:rsid w:val="00CB7B32"/>
    <w:rsid w:val="00CC478E"/>
    <w:rsid w:val="00CD1FCE"/>
    <w:rsid w:val="00CF7BFC"/>
    <w:rsid w:val="00D123A4"/>
    <w:rsid w:val="00D148F0"/>
    <w:rsid w:val="00D27B16"/>
    <w:rsid w:val="00D75CD8"/>
    <w:rsid w:val="00DB1FE5"/>
    <w:rsid w:val="00DD5A47"/>
    <w:rsid w:val="00DE40C8"/>
    <w:rsid w:val="00DE419B"/>
    <w:rsid w:val="00E52655"/>
    <w:rsid w:val="00E744AC"/>
    <w:rsid w:val="00E81727"/>
    <w:rsid w:val="00E94FA7"/>
    <w:rsid w:val="00E95E95"/>
    <w:rsid w:val="00EE68D8"/>
    <w:rsid w:val="00EE6E92"/>
    <w:rsid w:val="00F012A5"/>
    <w:rsid w:val="00F03074"/>
    <w:rsid w:val="00F068FF"/>
    <w:rsid w:val="00F3618B"/>
    <w:rsid w:val="00F56286"/>
    <w:rsid w:val="00F578F9"/>
    <w:rsid w:val="00F639F4"/>
    <w:rsid w:val="00F64EAD"/>
    <w:rsid w:val="00F86C09"/>
    <w:rsid w:val="00FB3455"/>
    <w:rsid w:val="00FE2582"/>
    <w:rsid w:val="00FF26B6"/>
    <w:rsid w:val="00FF2D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7F859"/>
  <w15:docId w15:val="{E54D795C-2218-4F02-97DB-6C0A109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C0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F86C09"/>
    <w:pPr>
      <w:ind w:left="720"/>
      <w:contextualSpacing/>
    </w:pPr>
  </w:style>
  <w:style w:type="character" w:styleId="Hyperlink">
    <w:name w:val="Hyperlink"/>
    <w:basedOn w:val="DefaultParagraphFont"/>
    <w:uiPriority w:val="99"/>
    <w:unhideWhenUsed/>
    <w:rsid w:val="00F86C09"/>
    <w:rPr>
      <w:color w:val="0563C1" w:themeColor="hyperlink"/>
      <w:u w:val="single"/>
    </w:rPr>
  </w:style>
  <w:style w:type="paragraph" w:styleId="Header">
    <w:name w:val="header"/>
    <w:basedOn w:val="Normal"/>
    <w:link w:val="HeaderChar"/>
    <w:uiPriority w:val="99"/>
    <w:unhideWhenUsed/>
    <w:rsid w:val="00F86C09"/>
    <w:pPr>
      <w:tabs>
        <w:tab w:val="center" w:pos="4513"/>
        <w:tab w:val="right" w:pos="9026"/>
      </w:tabs>
    </w:pPr>
  </w:style>
  <w:style w:type="character" w:customStyle="1" w:styleId="HeaderChar">
    <w:name w:val="Header Char"/>
    <w:basedOn w:val="DefaultParagraphFont"/>
    <w:link w:val="Header"/>
    <w:uiPriority w:val="99"/>
    <w:rsid w:val="00F86C09"/>
    <w:rPr>
      <w:rFonts w:eastAsiaTheme="minorEastAsia"/>
      <w:sz w:val="24"/>
      <w:szCs w:val="24"/>
      <w:lang w:val="en-US"/>
    </w:rPr>
  </w:style>
  <w:style w:type="paragraph" w:styleId="Footer">
    <w:name w:val="footer"/>
    <w:basedOn w:val="Normal"/>
    <w:link w:val="FooterChar"/>
    <w:uiPriority w:val="99"/>
    <w:unhideWhenUsed/>
    <w:rsid w:val="00F86C09"/>
    <w:pPr>
      <w:tabs>
        <w:tab w:val="center" w:pos="4513"/>
        <w:tab w:val="right" w:pos="9026"/>
      </w:tabs>
    </w:pPr>
  </w:style>
  <w:style w:type="character" w:customStyle="1" w:styleId="FooterChar">
    <w:name w:val="Footer Char"/>
    <w:basedOn w:val="DefaultParagraphFont"/>
    <w:link w:val="Footer"/>
    <w:uiPriority w:val="99"/>
    <w:rsid w:val="00F86C09"/>
    <w:rPr>
      <w:rFonts w:eastAsiaTheme="minorEastAsia"/>
      <w:sz w:val="24"/>
      <w:szCs w:val="24"/>
      <w:lang w:val="en-US"/>
    </w:rPr>
  </w:style>
  <w:style w:type="paragraph" w:styleId="FootnoteText">
    <w:name w:val="footnote text"/>
    <w:basedOn w:val="Normal"/>
    <w:link w:val="FootnoteTextChar"/>
    <w:uiPriority w:val="99"/>
    <w:unhideWhenUsed/>
    <w:qFormat/>
    <w:rsid w:val="00F56286"/>
    <w:rPr>
      <w:sz w:val="20"/>
      <w:szCs w:val="20"/>
    </w:rPr>
  </w:style>
  <w:style w:type="character" w:customStyle="1" w:styleId="FootnoteTextChar">
    <w:name w:val="Footnote Text Char"/>
    <w:basedOn w:val="DefaultParagraphFont"/>
    <w:link w:val="FootnoteText"/>
    <w:uiPriority w:val="99"/>
    <w:rsid w:val="00F56286"/>
    <w:rPr>
      <w:rFonts w:eastAsiaTheme="minorEastAsia"/>
      <w:sz w:val="20"/>
      <w:szCs w:val="20"/>
      <w:lang w:val="en-US"/>
    </w:rPr>
  </w:style>
  <w:style w:type="character" w:styleId="FootnoteReference">
    <w:name w:val="footnote reference"/>
    <w:basedOn w:val="DefaultParagraphFont"/>
    <w:uiPriority w:val="99"/>
    <w:unhideWhenUsed/>
    <w:rsid w:val="00F56286"/>
    <w:rPr>
      <w:vertAlign w:val="superscript"/>
    </w:rPr>
  </w:style>
  <w:style w:type="paragraph" w:styleId="BalloonText">
    <w:name w:val="Balloon Text"/>
    <w:basedOn w:val="Normal"/>
    <w:link w:val="BalloonTextChar"/>
    <w:uiPriority w:val="99"/>
    <w:semiHidden/>
    <w:unhideWhenUsed/>
    <w:rsid w:val="008F5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05"/>
    <w:rPr>
      <w:rFonts w:ascii="Segoe UI" w:eastAsiaTheme="minorEastAsia" w:hAnsi="Segoe UI" w:cs="Segoe UI"/>
      <w:sz w:val="18"/>
      <w:szCs w:val="18"/>
      <w:lang w:val="en-US"/>
    </w:rPr>
  </w:style>
  <w:style w:type="paragraph" w:styleId="NormalWeb">
    <w:name w:val="Normal (Web)"/>
    <w:basedOn w:val="Normal"/>
    <w:uiPriority w:val="99"/>
    <w:semiHidden/>
    <w:unhideWhenUsed/>
    <w:rsid w:val="00AE1515"/>
    <w:rPr>
      <w:rFonts w:ascii="Times New Roman" w:hAnsi="Times New Roman" w:cs="Times New Roman"/>
    </w:rPr>
  </w:style>
  <w:style w:type="character" w:styleId="FollowedHyperlink">
    <w:name w:val="FollowedHyperlink"/>
    <w:basedOn w:val="DefaultParagraphFont"/>
    <w:uiPriority w:val="99"/>
    <w:semiHidden/>
    <w:unhideWhenUsed/>
    <w:rsid w:val="00041CD7"/>
    <w:rPr>
      <w:color w:val="954F72" w:themeColor="followedHyperlink"/>
      <w:u w:val="single"/>
    </w:rPr>
  </w:style>
  <w:style w:type="character" w:styleId="CommentReference">
    <w:name w:val="annotation reference"/>
    <w:basedOn w:val="DefaultParagraphFont"/>
    <w:uiPriority w:val="99"/>
    <w:semiHidden/>
    <w:unhideWhenUsed/>
    <w:rsid w:val="00C07CFD"/>
    <w:rPr>
      <w:sz w:val="16"/>
      <w:szCs w:val="16"/>
    </w:rPr>
  </w:style>
  <w:style w:type="paragraph" w:styleId="CommentText">
    <w:name w:val="annotation text"/>
    <w:basedOn w:val="Normal"/>
    <w:link w:val="CommentTextChar"/>
    <w:uiPriority w:val="99"/>
    <w:semiHidden/>
    <w:unhideWhenUsed/>
    <w:rsid w:val="00C07CFD"/>
    <w:rPr>
      <w:sz w:val="20"/>
      <w:szCs w:val="20"/>
    </w:rPr>
  </w:style>
  <w:style w:type="character" w:customStyle="1" w:styleId="CommentTextChar">
    <w:name w:val="Comment Text Char"/>
    <w:basedOn w:val="DefaultParagraphFont"/>
    <w:link w:val="CommentText"/>
    <w:uiPriority w:val="99"/>
    <w:semiHidden/>
    <w:rsid w:val="00C07CF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07CFD"/>
    <w:rPr>
      <w:b/>
      <w:bCs/>
    </w:rPr>
  </w:style>
  <w:style w:type="character" w:customStyle="1" w:styleId="CommentSubjectChar">
    <w:name w:val="Comment Subject Char"/>
    <w:basedOn w:val="CommentTextChar"/>
    <w:link w:val="CommentSubject"/>
    <w:uiPriority w:val="99"/>
    <w:semiHidden/>
    <w:rsid w:val="00C07CFD"/>
    <w:rPr>
      <w:rFonts w:eastAsiaTheme="minorEastAsia"/>
      <w:b/>
      <w:bCs/>
      <w:sz w:val="20"/>
      <w:szCs w:val="20"/>
      <w:lang w:val="en-US"/>
    </w:rPr>
  </w:style>
  <w:style w:type="paragraph" w:customStyle="1" w:styleId="BulletPoint">
    <w:name w:val="Bullet Point"/>
    <w:basedOn w:val="ListParagraph"/>
    <w:link w:val="BulletPointChar"/>
    <w:qFormat/>
    <w:rsid w:val="00F03074"/>
    <w:pPr>
      <w:numPr>
        <w:numId w:val="23"/>
      </w:numPr>
      <w:contextualSpacing w:val="0"/>
    </w:pPr>
    <w:rPr>
      <w:rFonts w:eastAsiaTheme="minorHAnsi"/>
      <w:szCs w:val="22"/>
    </w:rPr>
  </w:style>
  <w:style w:type="character" w:customStyle="1" w:styleId="BulletPointChar">
    <w:name w:val="Bullet Point Char"/>
    <w:basedOn w:val="DefaultParagraphFont"/>
    <w:link w:val="BulletPoint"/>
    <w:rsid w:val="00F0307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7728">
      <w:bodyDiv w:val="1"/>
      <w:marLeft w:val="0"/>
      <w:marRight w:val="0"/>
      <w:marTop w:val="0"/>
      <w:marBottom w:val="0"/>
      <w:divBdr>
        <w:top w:val="none" w:sz="0" w:space="0" w:color="auto"/>
        <w:left w:val="none" w:sz="0" w:space="0" w:color="auto"/>
        <w:bottom w:val="none" w:sz="0" w:space="0" w:color="auto"/>
        <w:right w:val="none" w:sz="0" w:space="0" w:color="auto"/>
      </w:divBdr>
      <w:divsChild>
        <w:div w:id="952632512">
          <w:marLeft w:val="0"/>
          <w:marRight w:val="0"/>
          <w:marTop w:val="0"/>
          <w:marBottom w:val="0"/>
          <w:divBdr>
            <w:top w:val="none" w:sz="0" w:space="0" w:color="auto"/>
            <w:left w:val="none" w:sz="0" w:space="0" w:color="auto"/>
            <w:bottom w:val="none" w:sz="0" w:space="0" w:color="auto"/>
            <w:right w:val="none" w:sz="0" w:space="0" w:color="auto"/>
          </w:divBdr>
          <w:divsChild>
            <w:div w:id="824980462">
              <w:marLeft w:val="0"/>
              <w:marRight w:val="0"/>
              <w:marTop w:val="0"/>
              <w:marBottom w:val="0"/>
              <w:divBdr>
                <w:top w:val="none" w:sz="0" w:space="0" w:color="auto"/>
                <w:left w:val="none" w:sz="0" w:space="0" w:color="auto"/>
                <w:bottom w:val="none" w:sz="0" w:space="0" w:color="auto"/>
                <w:right w:val="none" w:sz="0" w:space="0" w:color="auto"/>
              </w:divBdr>
              <w:divsChild>
                <w:div w:id="836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90759">
      <w:bodyDiv w:val="1"/>
      <w:marLeft w:val="0"/>
      <w:marRight w:val="0"/>
      <w:marTop w:val="0"/>
      <w:marBottom w:val="0"/>
      <w:divBdr>
        <w:top w:val="none" w:sz="0" w:space="0" w:color="auto"/>
        <w:left w:val="none" w:sz="0" w:space="0" w:color="auto"/>
        <w:bottom w:val="none" w:sz="0" w:space="0" w:color="auto"/>
        <w:right w:val="none" w:sz="0" w:space="0" w:color="auto"/>
      </w:divBdr>
      <w:divsChild>
        <w:div w:id="1957056180">
          <w:marLeft w:val="0"/>
          <w:marRight w:val="0"/>
          <w:marTop w:val="0"/>
          <w:marBottom w:val="0"/>
          <w:divBdr>
            <w:top w:val="none" w:sz="0" w:space="0" w:color="auto"/>
            <w:left w:val="none" w:sz="0" w:space="0" w:color="auto"/>
            <w:bottom w:val="none" w:sz="0" w:space="0" w:color="auto"/>
            <w:right w:val="none" w:sz="0" w:space="0" w:color="auto"/>
          </w:divBdr>
          <w:divsChild>
            <w:div w:id="2092316262">
              <w:marLeft w:val="0"/>
              <w:marRight w:val="0"/>
              <w:marTop w:val="0"/>
              <w:marBottom w:val="0"/>
              <w:divBdr>
                <w:top w:val="none" w:sz="0" w:space="0" w:color="auto"/>
                <w:left w:val="none" w:sz="0" w:space="0" w:color="auto"/>
                <w:bottom w:val="none" w:sz="0" w:space="0" w:color="auto"/>
                <w:right w:val="none" w:sz="0" w:space="0" w:color="auto"/>
              </w:divBdr>
              <w:divsChild>
                <w:div w:id="504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leap@helpag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1051-E504-477B-B020-AE5886AB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test.ha2</dc:creator>
  <cp:keywords/>
  <dc:description/>
  <cp:lastModifiedBy>Bridget Sleap</cp:lastModifiedBy>
  <cp:revision>4</cp:revision>
  <cp:lastPrinted>2019-01-25T08:15:00Z</cp:lastPrinted>
  <dcterms:created xsi:type="dcterms:W3CDTF">2019-01-25T08:20:00Z</dcterms:created>
  <dcterms:modified xsi:type="dcterms:W3CDTF">2019-02-01T10:09:00Z</dcterms:modified>
</cp:coreProperties>
</file>